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0690B" w14:textId="77777777" w:rsidR="00225CC5" w:rsidRDefault="00225CC5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672A6659" w14:textId="77777777" w:rsidR="00225CC5" w:rsidRDefault="002F2BF0" w:rsidP="002F2BF0">
      <w:pPr>
        <w:keepLines/>
        <w:suppressAutoHyphens/>
        <w:jc w:val="center"/>
        <w:rPr>
          <w:color w:val="000000"/>
        </w:rPr>
      </w:pPr>
      <w:r>
        <w:rPr>
          <w:noProof/>
          <w:lang w:eastAsia="lt-LT"/>
        </w:rPr>
        <w:drawing>
          <wp:inline distT="0" distB="0" distL="0" distR="0" wp14:anchorId="2C490569" wp14:editId="07777777">
            <wp:extent cx="546100" cy="552450"/>
            <wp:effectExtent l="0" t="0" r="635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86352" w14:textId="77777777" w:rsidR="00225CC5" w:rsidRDefault="002F2BF0" w:rsidP="002F2BF0">
      <w:pPr>
        <w:keepLines/>
        <w:suppressAutoHyphens/>
        <w:jc w:val="center"/>
        <w:textAlignment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LIETUVOS RESPUBLIKOS ŠVIETIMO, MOKSLO IR SPORTO MINISTRAS</w:t>
      </w:r>
    </w:p>
    <w:p w14:paraId="0A37501D" w14:textId="77777777" w:rsidR="00225CC5" w:rsidRDefault="00225CC5" w:rsidP="002F2BF0">
      <w:pPr>
        <w:keepLines/>
        <w:suppressAutoHyphens/>
        <w:jc w:val="center"/>
        <w:textAlignment w:val="center"/>
        <w:rPr>
          <w:b/>
          <w:color w:val="000000"/>
          <w:sz w:val="28"/>
          <w:szCs w:val="28"/>
        </w:rPr>
      </w:pPr>
    </w:p>
    <w:p w14:paraId="7120695F" w14:textId="12FCBEE0" w:rsidR="00225CC5" w:rsidRDefault="002F2BF0" w:rsidP="002F2BF0">
      <w:pPr>
        <w:keepLines/>
        <w:suppressAutoHyphens/>
        <w:jc w:val="center"/>
        <w:textAlignment w:val="center"/>
        <w:rPr>
          <w:color w:val="000000"/>
        </w:rPr>
      </w:pPr>
      <w:r>
        <w:rPr>
          <w:rFonts w:eastAsia="Calibri"/>
          <w:b/>
          <w:bCs/>
        </w:rPr>
        <w:t>ĮSAKYMAS</w:t>
      </w:r>
    </w:p>
    <w:p w14:paraId="56A001C5" w14:textId="77777777" w:rsidR="00225CC5" w:rsidRDefault="002F2BF0" w:rsidP="002F2BF0">
      <w:pPr>
        <w:keepLines/>
        <w:suppressAutoHyphens/>
        <w:jc w:val="center"/>
        <w:textAlignment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>DĖL VALSTYBĖS (STRATEGINIŲ) ŠVIETIMO STEBĖSENOS RODIKLIŲ PATVIRTINIMO</w:t>
      </w:r>
    </w:p>
    <w:p w14:paraId="5DAB6C7B" w14:textId="77777777" w:rsidR="00225CC5" w:rsidRDefault="00225CC5" w:rsidP="002F2BF0">
      <w:pPr>
        <w:keepLines/>
        <w:suppressAutoHyphens/>
        <w:jc w:val="center"/>
        <w:textAlignment w:val="center"/>
        <w:rPr>
          <w:color w:val="000000"/>
          <w:sz w:val="22"/>
          <w:szCs w:val="22"/>
        </w:rPr>
      </w:pPr>
    </w:p>
    <w:p w14:paraId="7035462C" w14:textId="09B99D53" w:rsidR="00225CC5" w:rsidRDefault="002F2BF0" w:rsidP="002F2BF0">
      <w:pPr>
        <w:keepLines/>
        <w:suppressAutoHyphens/>
        <w:jc w:val="center"/>
        <w:textAlignment w:val="center"/>
        <w:rPr>
          <w:color w:val="000000"/>
        </w:rPr>
      </w:pPr>
      <w:r>
        <w:rPr>
          <w:color w:val="000000"/>
        </w:rPr>
        <w:t>2022 m. vasario 17 d. Nr. </w:t>
      </w:r>
      <w:r w:rsidRPr="002F2BF0">
        <w:rPr>
          <w:color w:val="000000"/>
        </w:rPr>
        <w:t>V-283</w:t>
      </w:r>
    </w:p>
    <w:p w14:paraId="3485A90D" w14:textId="77777777" w:rsidR="00225CC5" w:rsidRDefault="002F2BF0" w:rsidP="002F2BF0">
      <w:pPr>
        <w:keepLines/>
        <w:suppressAutoHyphens/>
        <w:jc w:val="center"/>
        <w:textAlignment w:val="center"/>
        <w:rPr>
          <w:color w:val="000000"/>
        </w:rPr>
      </w:pPr>
      <w:r>
        <w:rPr>
          <w:color w:val="000000"/>
        </w:rPr>
        <w:t>Vilnius</w:t>
      </w:r>
    </w:p>
    <w:p w14:paraId="02EB378F" w14:textId="77777777" w:rsidR="00225CC5" w:rsidRDefault="00225CC5" w:rsidP="002F2BF0">
      <w:pPr>
        <w:suppressAutoHyphens/>
        <w:jc w:val="center"/>
        <w:textAlignment w:val="center"/>
        <w:rPr>
          <w:color w:val="000000"/>
          <w:sz w:val="22"/>
          <w:szCs w:val="22"/>
        </w:rPr>
      </w:pPr>
    </w:p>
    <w:p w14:paraId="6A05A809" w14:textId="77777777" w:rsidR="00225CC5" w:rsidRDefault="00225CC5" w:rsidP="002F2BF0">
      <w:pPr>
        <w:suppressAutoHyphens/>
        <w:jc w:val="center"/>
        <w:textAlignment w:val="center"/>
        <w:rPr>
          <w:color w:val="000000"/>
          <w:sz w:val="22"/>
          <w:szCs w:val="22"/>
        </w:rPr>
      </w:pPr>
    </w:p>
    <w:p w14:paraId="6D1F430A" w14:textId="77777777" w:rsidR="00225CC5" w:rsidRDefault="002F2BF0">
      <w:pPr>
        <w:suppressAutoHyphens/>
        <w:spacing w:line="283" w:lineRule="auto"/>
        <w:ind w:firstLine="993"/>
        <w:jc w:val="both"/>
        <w:textAlignment w:val="center"/>
        <w:rPr>
          <w:color w:val="000000"/>
        </w:rPr>
      </w:pPr>
      <w:r>
        <w:rPr>
          <w:color w:val="000000"/>
        </w:rPr>
        <w:t>Vadovaudamasi Lietuvos Respublikos švietimo įstatymo 53 straipsnio 2 dalimi:</w:t>
      </w:r>
    </w:p>
    <w:p w14:paraId="48CDFA54" w14:textId="77777777" w:rsidR="00225CC5" w:rsidRDefault="002F2BF0">
      <w:pPr>
        <w:suppressAutoHyphens/>
        <w:spacing w:line="283" w:lineRule="auto"/>
        <w:ind w:firstLine="993"/>
        <w:jc w:val="both"/>
        <w:textAlignment w:val="center"/>
        <w:rPr>
          <w:color w:val="000000"/>
        </w:rPr>
      </w:pPr>
      <w:r>
        <w:rPr>
          <w:color w:val="000000"/>
        </w:rPr>
        <w:t>1. T v i r t i n u  Valstybės (strateginius) švietimo stebėsenos rodiklius (pridedama).</w:t>
      </w:r>
    </w:p>
    <w:p w14:paraId="60307B46" w14:textId="0ABBB4B9" w:rsidR="00225CC5" w:rsidRDefault="002F2BF0">
      <w:pPr>
        <w:suppressAutoHyphens/>
        <w:spacing w:line="283" w:lineRule="auto"/>
        <w:ind w:firstLine="993"/>
        <w:jc w:val="both"/>
        <w:textAlignment w:val="center"/>
        <w:rPr>
          <w:color w:val="000000"/>
        </w:rPr>
      </w:pPr>
      <w:r>
        <w:rPr>
          <w:color w:val="000000"/>
        </w:rPr>
        <w:t>2. P a v e d u  Nacionalinės švietimo agentūros direktoriui, suderinus su Švietimo ir mokslo stebėsenos koordinavimo grupe, patvirtinta Lietuvos Respublikos švietimo, mokslo ir sporto ministro 2021 m. liepos 12 d. įsakymu Nr. V-1264 „Dėl Švietimo ir mokslo stebėsenos koordinavimo grupės sudėties patvirtinimo“, tvirtinti Valstybės (strateginių) švietimo stebėsenos rodiklių aprašus.</w:t>
      </w:r>
    </w:p>
    <w:p w14:paraId="0210A17F" w14:textId="77777777" w:rsidR="00225CC5" w:rsidRDefault="002F2BF0">
      <w:pPr>
        <w:suppressAutoHyphens/>
        <w:spacing w:line="283" w:lineRule="auto"/>
        <w:ind w:firstLine="993"/>
        <w:jc w:val="both"/>
        <w:textAlignment w:val="center"/>
        <w:rPr>
          <w:color w:val="000000"/>
        </w:rPr>
      </w:pPr>
      <w:r>
        <w:rPr>
          <w:color w:val="000000"/>
        </w:rPr>
        <w:t>3. P r i p a ž į s t u  netekusiu galios Lietuvos Respublikos švietimo, mokslo ir sporto ministro 2019 m. gegužės 22 d. įsakymą Nr. V-620 „Dėl Valstybės (strateginių) švietimo stebėsenos rodiklių patvirtinimo“.</w:t>
      </w:r>
    </w:p>
    <w:p w14:paraId="5A39BBE3" w14:textId="77777777" w:rsidR="00225CC5" w:rsidRDefault="00225CC5">
      <w:pPr>
        <w:tabs>
          <w:tab w:val="left" w:pos="7406"/>
          <w:tab w:val="right" w:pos="9808"/>
        </w:tabs>
        <w:suppressAutoHyphens/>
        <w:spacing w:line="283" w:lineRule="auto"/>
        <w:textAlignment w:val="center"/>
      </w:pPr>
    </w:p>
    <w:p w14:paraId="41C8F396" w14:textId="77777777" w:rsidR="00225CC5" w:rsidRDefault="00225CC5">
      <w:pPr>
        <w:tabs>
          <w:tab w:val="left" w:pos="7406"/>
          <w:tab w:val="right" w:pos="9808"/>
        </w:tabs>
        <w:suppressAutoHyphens/>
        <w:spacing w:line="283" w:lineRule="auto"/>
        <w:textAlignment w:val="center"/>
      </w:pPr>
    </w:p>
    <w:p w14:paraId="72A3D3EC" w14:textId="77777777" w:rsidR="00225CC5" w:rsidRDefault="00225CC5">
      <w:pPr>
        <w:tabs>
          <w:tab w:val="left" w:pos="7406"/>
          <w:tab w:val="right" w:pos="9808"/>
        </w:tabs>
        <w:suppressAutoHyphens/>
        <w:spacing w:line="283" w:lineRule="auto"/>
        <w:textAlignment w:val="center"/>
      </w:pPr>
    </w:p>
    <w:p w14:paraId="14614B03" w14:textId="14799885" w:rsidR="00225CC5" w:rsidRDefault="002F2BF0" w:rsidP="002F2BF0">
      <w:pPr>
        <w:tabs>
          <w:tab w:val="left" w:pos="7088"/>
        </w:tabs>
        <w:suppressAutoHyphens/>
        <w:spacing w:line="283" w:lineRule="auto"/>
        <w:textAlignment w:val="center"/>
        <w:rPr>
          <w:color w:val="000000"/>
          <w:sz w:val="22"/>
          <w:szCs w:val="22"/>
        </w:rPr>
      </w:pPr>
      <w:r>
        <w:rPr>
          <w:rFonts w:eastAsia="Calibri"/>
        </w:rPr>
        <w:t>Švietimo, mokslo ir sporto ministrė</w:t>
      </w:r>
      <w:r>
        <w:rPr>
          <w:rFonts w:eastAsia="Calibri"/>
        </w:rPr>
        <w:tab/>
        <w:t>Jurgita Šiugždinienė</w:t>
      </w:r>
    </w:p>
    <w:p w14:paraId="70CE796D" w14:textId="77777777" w:rsidR="00225CC5" w:rsidRDefault="00225CC5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1FFF8C9D" w14:textId="77777777" w:rsidR="002F2BF0" w:rsidRDefault="002F2BF0">
      <w:pPr>
        <w:keepLines/>
        <w:tabs>
          <w:tab w:val="left" w:pos="1304"/>
          <w:tab w:val="left" w:pos="1457"/>
          <w:tab w:val="left" w:pos="1604"/>
          <w:tab w:val="left" w:pos="1757"/>
        </w:tabs>
        <w:suppressAutoHyphens/>
        <w:spacing w:line="283" w:lineRule="auto"/>
        <w:ind w:left="5953" w:hanging="283"/>
        <w:textAlignment w:val="center"/>
        <w:sectPr w:rsidR="002F2BF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1134" w:bottom="1560" w:left="1701" w:header="709" w:footer="709" w:gutter="0"/>
          <w:pgNumType w:start="1"/>
          <w:cols w:space="708"/>
          <w:titlePg/>
          <w:docGrid w:linePitch="326"/>
        </w:sectPr>
      </w:pPr>
    </w:p>
    <w:p w14:paraId="4AB4BFB0" w14:textId="1458714E" w:rsidR="00225CC5" w:rsidRDefault="002F2BF0">
      <w:pPr>
        <w:keepLines/>
        <w:tabs>
          <w:tab w:val="left" w:pos="1304"/>
          <w:tab w:val="left" w:pos="1457"/>
          <w:tab w:val="left" w:pos="1604"/>
          <w:tab w:val="left" w:pos="1757"/>
        </w:tabs>
        <w:suppressAutoHyphens/>
        <w:spacing w:line="283" w:lineRule="auto"/>
        <w:ind w:left="5953" w:hanging="283"/>
        <w:textAlignment w:val="center"/>
        <w:rPr>
          <w:color w:val="000000"/>
        </w:rPr>
      </w:pPr>
      <w:r>
        <w:rPr>
          <w:color w:val="000000"/>
        </w:rPr>
        <w:lastRenderedPageBreak/>
        <w:t>PATVIRTINTA</w:t>
      </w:r>
    </w:p>
    <w:p w14:paraId="327D9E0A" w14:textId="77777777" w:rsidR="00225CC5" w:rsidRDefault="002F2BF0">
      <w:pPr>
        <w:keepLines/>
        <w:tabs>
          <w:tab w:val="left" w:pos="1304"/>
          <w:tab w:val="left" w:pos="1457"/>
          <w:tab w:val="left" w:pos="1604"/>
          <w:tab w:val="left" w:pos="1757"/>
        </w:tabs>
        <w:suppressAutoHyphens/>
        <w:spacing w:line="283" w:lineRule="auto"/>
        <w:ind w:left="5953" w:hanging="283"/>
        <w:textAlignment w:val="center"/>
        <w:rPr>
          <w:color w:val="000000"/>
        </w:rPr>
      </w:pPr>
      <w:r>
        <w:rPr>
          <w:color w:val="000000"/>
        </w:rPr>
        <w:t xml:space="preserve">Lietuvos Respublikos </w:t>
      </w:r>
    </w:p>
    <w:p w14:paraId="1D655926" w14:textId="77777777" w:rsidR="00225CC5" w:rsidRDefault="002F2BF0">
      <w:pPr>
        <w:keepLines/>
        <w:tabs>
          <w:tab w:val="left" w:pos="1304"/>
          <w:tab w:val="left" w:pos="1457"/>
          <w:tab w:val="left" w:pos="1604"/>
          <w:tab w:val="left" w:pos="1757"/>
        </w:tabs>
        <w:suppressAutoHyphens/>
        <w:spacing w:line="283" w:lineRule="auto"/>
        <w:ind w:left="5953" w:hanging="283"/>
        <w:textAlignment w:val="center"/>
        <w:rPr>
          <w:color w:val="000000"/>
        </w:rPr>
      </w:pPr>
      <w:r>
        <w:rPr>
          <w:color w:val="000000"/>
        </w:rPr>
        <w:t>švietimo, mokslo ir sporto ministro</w:t>
      </w:r>
    </w:p>
    <w:p w14:paraId="26AD7AF2" w14:textId="0CF97026" w:rsidR="00225CC5" w:rsidRDefault="002F2BF0">
      <w:pPr>
        <w:keepLines/>
        <w:tabs>
          <w:tab w:val="left" w:pos="1304"/>
          <w:tab w:val="left" w:pos="1457"/>
          <w:tab w:val="left" w:pos="1604"/>
          <w:tab w:val="left" w:pos="1757"/>
        </w:tabs>
        <w:suppressAutoHyphens/>
        <w:spacing w:line="283" w:lineRule="auto"/>
        <w:ind w:left="5953" w:hanging="283"/>
        <w:textAlignment w:val="center"/>
        <w:rPr>
          <w:color w:val="000000"/>
        </w:rPr>
      </w:pPr>
      <w:r>
        <w:rPr>
          <w:color w:val="000000"/>
        </w:rPr>
        <w:t xml:space="preserve">2022 m. vasario 17 d. įsakymu </w:t>
      </w:r>
    </w:p>
    <w:p w14:paraId="6C6C087B" w14:textId="52272808" w:rsidR="00225CC5" w:rsidRDefault="002F2BF0">
      <w:pPr>
        <w:keepLines/>
        <w:tabs>
          <w:tab w:val="left" w:pos="1304"/>
          <w:tab w:val="left" w:pos="1457"/>
          <w:tab w:val="left" w:pos="1604"/>
          <w:tab w:val="left" w:pos="1757"/>
        </w:tabs>
        <w:suppressAutoHyphens/>
        <w:spacing w:line="283" w:lineRule="auto"/>
        <w:ind w:left="5953" w:hanging="283"/>
        <w:textAlignment w:val="center"/>
        <w:rPr>
          <w:color w:val="000000"/>
        </w:rPr>
      </w:pPr>
      <w:r>
        <w:rPr>
          <w:color w:val="000000"/>
        </w:rPr>
        <w:t>Nr. </w:t>
      </w:r>
      <w:r w:rsidRPr="002F2BF0">
        <w:rPr>
          <w:color w:val="000000"/>
        </w:rPr>
        <w:t>V-283</w:t>
      </w:r>
    </w:p>
    <w:p w14:paraId="0E27B00A" w14:textId="77777777" w:rsidR="00225CC5" w:rsidRDefault="00225CC5">
      <w:pPr>
        <w:suppressAutoHyphens/>
        <w:ind w:firstLine="567"/>
        <w:jc w:val="both"/>
        <w:rPr>
          <w:color w:val="000000"/>
        </w:rPr>
      </w:pPr>
    </w:p>
    <w:p w14:paraId="7F386928" w14:textId="77777777" w:rsidR="00225CC5" w:rsidRDefault="002F2BF0">
      <w:pPr>
        <w:keepLines/>
        <w:suppressAutoHyphens/>
        <w:spacing w:line="283" w:lineRule="auto"/>
        <w:jc w:val="center"/>
        <w:textAlignment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>valstybės (strateginiai) švietimo stebėsenos rodikliai</w:t>
      </w:r>
    </w:p>
    <w:p w14:paraId="60061E4C" w14:textId="77777777" w:rsidR="00225CC5" w:rsidRDefault="00225CC5">
      <w:pPr>
        <w:suppressAutoHyphens/>
        <w:spacing w:line="283" w:lineRule="auto"/>
        <w:ind w:firstLine="312"/>
        <w:jc w:val="both"/>
        <w:textAlignment w:val="center"/>
        <w:rPr>
          <w:color w:val="000000"/>
          <w:szCs w:val="24"/>
        </w:rPr>
      </w:pPr>
    </w:p>
    <w:p w14:paraId="62C2C5C9" w14:textId="4EF06873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1. Valstybės (strateginiai) švietimo stebėsenos rodikliai suskirstyti grupėmis pagal tai, kurį švietimo sistemos komponentą apibūdina: švietimo kontekstą, indėlį į švietimą, švietimo procesus, švietimo rezultatus ar švietimo sistemos stebėjimą (</w:t>
      </w:r>
      <w:proofErr w:type="spellStart"/>
      <w:r>
        <w:rPr>
          <w:color w:val="000000"/>
        </w:rPr>
        <w:t>metarodiklis</w:t>
      </w:r>
      <w:proofErr w:type="spellEnd"/>
      <w:r>
        <w:rPr>
          <w:color w:val="000000"/>
        </w:rPr>
        <w:t>).</w:t>
      </w:r>
    </w:p>
    <w:p w14:paraId="2020D8B4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2. Švietimo konteksto rodikliai (parodo išorines sąlygas ir reikmes, darančias poveikį švietimo sistemos procesams):</w:t>
      </w:r>
    </w:p>
    <w:p w14:paraId="3DEAFB18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2.1. Švietimo aplinka:</w:t>
      </w:r>
    </w:p>
    <w:p w14:paraId="3A3B8D23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2.1.1. gyventojų skaičiaus pokytis;</w:t>
      </w:r>
    </w:p>
    <w:p w14:paraId="561D7200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2.1.2. niekur nedirbančių ir nesimokančių darbingo amžiaus asmenų dalis;</w:t>
      </w:r>
    </w:p>
    <w:p w14:paraId="4520EE14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2.1.3. gyventojų, kurie gyvena žemiau skurdo ribos, dalis;</w:t>
      </w:r>
    </w:p>
    <w:p w14:paraId="1A3D566E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2.1.4. asmenų, įtariamų (kaltinamų) padarius nusikalstamas veikas, skaičius, tenkantis 100 tūkst. gyventojų;</w:t>
      </w:r>
    </w:p>
    <w:p w14:paraId="18193323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2.1.5. savižudybių skaičius 100 tūkst. gyventojų;</w:t>
      </w:r>
    </w:p>
    <w:p w14:paraId="1535E45D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2.1.6. bendrasis vidaus produktas, tenkantis vienam gyventojui.</w:t>
      </w:r>
    </w:p>
    <w:p w14:paraId="57DD0585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 Indėlio į švietimą rodikliai (parodo pastangas ir (arba) išteklius, reikalingus švietimo sistemai veikti ir tikslams pasiekti):</w:t>
      </w:r>
    </w:p>
    <w:p w14:paraId="1C4F1576" w14:textId="7C798E21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3.1. Besimokančiųjų ar studijuojančiųjų pasiskirstymas pagal lytį;</w:t>
      </w:r>
    </w:p>
    <w:p w14:paraId="690E8A05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3.2. Personalo charakteristika:</w:t>
      </w:r>
    </w:p>
    <w:p w14:paraId="7F37FF4D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3.2.1. vidutinis pedagoginių darbuotojų amžius;</w:t>
      </w:r>
    </w:p>
    <w:p w14:paraId="60673934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3.2.2. pedagoginių darbuotojų pasiskirstymas pagal lytį;</w:t>
      </w:r>
    </w:p>
    <w:p w14:paraId="44111489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3.2.3. aukštos kvalifikacijos pedagoginių darbuotojų dalis;</w:t>
      </w:r>
    </w:p>
    <w:p w14:paraId="3AF7ED46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3.2.4. vidutinis švietimo įstaigų vadovų amžius;</w:t>
      </w:r>
    </w:p>
    <w:p w14:paraId="04DEA9C3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3.2.5. švietimo įstaigų vadovų pasiskirstymas pagal lytį;</w:t>
      </w:r>
    </w:p>
    <w:p w14:paraId="572C42ED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3.3. Materialieji ir finansiniai ištekliai:</w:t>
      </w:r>
    </w:p>
    <w:p w14:paraId="7AF97E2E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3.3.1. valstybės ir savivaldybių biudžetų išlaidos švietimui kaip BVP dalis;</w:t>
      </w:r>
    </w:p>
    <w:p w14:paraId="115B7533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3.3.2. vidutinės vienam besimokančiam ar studijuojančiam asmeniui tekusios lėšos;</w:t>
      </w:r>
    </w:p>
    <w:p w14:paraId="28988BD3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3.3.3. fizinių ir juridinių asmenų skiriamų lėšų švietimui dalis;</w:t>
      </w:r>
    </w:p>
    <w:p w14:paraId="5135E1BE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>3.3.4. švietimo įstaigų, kurių nė vienai pastato daliai nereikia kapitalinio remonto, dalis;</w:t>
      </w:r>
    </w:p>
    <w:p w14:paraId="2238EDCB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3.3.5. švietimo įstaigų, fizinę aplinką pritaikiusių asmenims su negalia, dalis;</w:t>
      </w:r>
      <w:r>
        <w:rPr>
          <w:rFonts w:eastAsia="Calibri"/>
          <w:color w:val="000000"/>
        </w:rPr>
        <w:t> </w:t>
      </w:r>
    </w:p>
    <w:p w14:paraId="4A7861A4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3.3.6. švietimo įstaigų, turinčių laboratorijas ir / ar technikos kabinetus, dalis.</w:t>
      </w:r>
    </w:p>
    <w:p w14:paraId="2EE23A19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 Švietimo procesų rodikliai (parodo priežastiniais ryšiais susijusių švietimo sistemos pokyčių eigą):</w:t>
      </w:r>
    </w:p>
    <w:p w14:paraId="483D05F7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4.1. Mokymas, mokymasis ir studijos:</w:t>
      </w:r>
    </w:p>
    <w:p w14:paraId="1B16F2C2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4.1.1. pasirinkusiųjų mokytis ar studijuoti gamtos ir technologijos mokslus dalis;</w:t>
      </w:r>
    </w:p>
    <w:p w14:paraId="0D0A8FC7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4.1.2. besimokančių ar studijuojančių Lietuvoje kitų šalių piliečių dalis;</w:t>
      </w:r>
    </w:p>
    <w:p w14:paraId="1E5405C6" w14:textId="7ED1A80A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4.1.</w:t>
      </w:r>
      <w:r w:rsidRPr="00805272">
        <w:rPr>
          <w:color w:val="000000"/>
        </w:rPr>
        <w:t>3</w:t>
      </w:r>
      <w:r>
        <w:rPr>
          <w:color w:val="000000"/>
        </w:rPr>
        <w:t>. besimokančiųjų ar studijuojančiųjų dalis amžiaus grupėje;</w:t>
      </w:r>
    </w:p>
    <w:p w14:paraId="23505FD5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4.1.4. besimokančių ar studijuojančių asmenų su negalia dalis;</w:t>
      </w:r>
    </w:p>
    <w:p w14:paraId="459832BC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lastRenderedPageBreak/>
        <w:t>4.2. Ugdymo procesų organizavimas ir valdymas:</w:t>
      </w:r>
    </w:p>
    <w:p w14:paraId="4875190A" w14:textId="696D4934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4.2.1. pedagoginių darbuotojų kontaktinių darbo valandų dalis, palyginti su visu pedagoginių darbuotojų darbo laiku;</w:t>
      </w:r>
    </w:p>
    <w:p w14:paraId="1F5D1D4F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4.2.2. pedagoginių darbuotojų, dirbančių visu krūviu, dalis;</w:t>
      </w:r>
    </w:p>
    <w:p w14:paraId="5264F662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4.2.3. pedagoginių darbuotojų ir kito personalo skaičiaus santykis;</w:t>
      </w:r>
    </w:p>
    <w:p w14:paraId="030AAA91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4.2.4. vidutinis mokinių skaičius klasės komplekte ar grupėje;</w:t>
      </w:r>
    </w:p>
    <w:p w14:paraId="0B73AC39" w14:textId="77777777" w:rsidR="00225CC5" w:rsidRPr="00805272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 w:rsidRPr="00805272">
        <w:rPr>
          <w:color w:val="000000"/>
        </w:rPr>
        <w:t xml:space="preserve">4.2.5. </w:t>
      </w:r>
      <w:r>
        <w:rPr>
          <w:color w:val="000000"/>
          <w:bdr w:val="none" w:sz="0" w:space="0" w:color="auto" w:frame="1"/>
          <w:lang w:eastAsia="lt-LT"/>
        </w:rPr>
        <w:t>švietimo įstaigų, vykdančių ikimokyklinio, priešmokyklinio, bendrojo ugdymo, profesinio mokymo programas, kuriose per paskutinius ketverius metus vykdytas veiklos kokybės išorinis vertinimas, dalis;</w:t>
      </w:r>
    </w:p>
    <w:p w14:paraId="551040ED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4.2.6. maksimaliam laikotarpiui akredituotų studijų programų dalis pagal studijų pakopas;</w:t>
      </w:r>
    </w:p>
    <w:p w14:paraId="2AD664DA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4.2.7. mokytojų (dėstytojų) ir mokinių (studentų) skaičiaus santykis;</w:t>
      </w:r>
    </w:p>
    <w:p w14:paraId="201C1778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4.2.</w:t>
      </w:r>
      <w:r>
        <w:rPr>
          <w:color w:val="000000"/>
          <w:lang w:val="en-GB"/>
        </w:rPr>
        <w:t>8</w:t>
      </w:r>
      <w:r>
        <w:rPr>
          <w:color w:val="000000"/>
        </w:rPr>
        <w:t>. pedagoginių darbuotojų, kurie dalyvavo tarptautinėse mainų programose per praėjusius 5 metus, dalis.</w:t>
      </w:r>
    </w:p>
    <w:p w14:paraId="0FAF1CE0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5. Švietimo rezultatų rodikliai (parodo būvį pasibaigus tam tikram švietimo proceso etapui arba švietimo sukurtą produktą):</w:t>
      </w:r>
    </w:p>
    <w:p w14:paraId="27C580A3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5.1. Švietimo rezultatas:</w:t>
      </w:r>
    </w:p>
    <w:p w14:paraId="7355FE67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  <w:spacing w:val="-2"/>
        </w:rPr>
        <w:t xml:space="preserve">5.1.1. </w:t>
      </w:r>
      <w:r>
        <w:rPr>
          <w:color w:val="000000"/>
        </w:rPr>
        <w:t xml:space="preserve">mokinių, Ekonominio bendradarbiavimo ir plėtros organizacijos (toliau – EBPO) tarptautiniame penkiolikmečių tyrime (toliau – PISA) pasiekusių ne žemesnį </w:t>
      </w:r>
      <w:r>
        <w:rPr>
          <w:color w:val="000000"/>
          <w:spacing w:val="-2"/>
        </w:rPr>
        <w:t>kaip 3 skaitymo gebėjimų lygį, dalis;</w:t>
      </w:r>
    </w:p>
    <w:p w14:paraId="24491296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5.1.2. mokinių, EBPO PISA tyrime pasiekusių ne žemesnį kaip 3 matematinio raštingumo lygį, dalis;</w:t>
      </w:r>
    </w:p>
    <w:p w14:paraId="70429118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5.1.3. mokinių, EBPO PISA tyrime pasiekusių ne žemesnį kaip 3 gamtamokslio raštingumo lygį, dalis;</w:t>
      </w:r>
    </w:p>
    <w:p w14:paraId="6A6E8C3B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5.1.4. 4 klasės mokinių Tarptautinės švietimo pasiekimų asociacijos (toliau – IEA) tarptautinio skaitymo gebėjimų tyrimo (angl. PIRLS) rezultatų procentinis pasiskirstymas pagal tarptautinius skaitymo gebėjimų pasiekimų lygmenis;</w:t>
      </w:r>
    </w:p>
    <w:p w14:paraId="0D3D2192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5.1.5. 4 klasės mokinių IEA tarptautinio matematikos ir gamtos mokslų gebėjimų tyrimo (angl. TIMSS) rezultatų procentinis pasiskirstymas pagal tarptautinius matematikos ir gamtos mokslų pasiekimų lygmenis;</w:t>
      </w:r>
    </w:p>
    <w:p w14:paraId="689DE588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5.1.6. 8 klasės mokinių IEA tarptautinio matematikos ir gamtos mokslų gebėjimų tyrimo (angl. TIMSS) rezultatų procentinis pasiskirstymas pagal tarptautinius matematikos ir gamtos mokslų pasiekimų lygmenis;</w:t>
      </w:r>
    </w:p>
    <w:p w14:paraId="0F7D3880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5.1.7. 8 klasės mokinių IEA tarptautinio pilietinio ugdymo ir pilietiškumo tyrimo (angl. ICCS) rezultatų procentinis pasiskirstymas pagal tarptautinio pilietinio ugdymo ir pilietiškumo pasiekimų lygmenis;</w:t>
      </w:r>
    </w:p>
    <w:p w14:paraId="0F5203EB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 xml:space="preserve">5.1.8. </w:t>
      </w:r>
      <w:r>
        <w:t>gyventojų bazinio kompiuterinio raštingumo lygis</w:t>
      </w:r>
      <w:r>
        <w:rPr>
          <w:color w:val="000000"/>
        </w:rPr>
        <w:t>;</w:t>
      </w:r>
    </w:p>
    <w:p w14:paraId="7B25CA9D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5.1.</w:t>
      </w:r>
      <w:r>
        <w:rPr>
          <w:color w:val="000000"/>
          <w:lang w:val="en-GB"/>
        </w:rPr>
        <w:t>9</w:t>
      </w:r>
      <w:r>
        <w:rPr>
          <w:color w:val="000000"/>
        </w:rPr>
        <w:t>. asmenų, nutraukusių mokymąsi / studijas, dalis;</w:t>
      </w:r>
    </w:p>
    <w:p w14:paraId="44428725" w14:textId="741FFED3" w:rsidR="00225CC5" w:rsidRDefault="002F2BF0" w:rsidP="002F2BF0">
      <w:pPr>
        <w:suppressAutoHyphens/>
        <w:spacing w:line="276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5.1.10. </w:t>
      </w:r>
      <w:r>
        <w:rPr>
          <w:lang w:eastAsia="lt-LT"/>
        </w:rPr>
        <w:t>užsienio piliečių, baigusių studijas Lietuvos aukštosiose mokyklose, dalis;</w:t>
      </w:r>
      <w:r>
        <w:rPr>
          <w:color w:val="000000"/>
        </w:rPr>
        <w:t xml:space="preserve"> </w:t>
      </w:r>
    </w:p>
    <w:p w14:paraId="47B0AD38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5.2. Švietimo pasekmės:</w:t>
      </w:r>
    </w:p>
    <w:p w14:paraId="36C6B916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5.2.1. visuomenės išsilavinimo lygis pagal amžiaus grupes;</w:t>
      </w:r>
    </w:p>
    <w:p w14:paraId="078BA709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5.2.2. asmenų, registruotų Užimtumo tarnyboje po metų nuo švietimo programos baigimo, dalis pagal išsilavinimo lygį;</w:t>
      </w:r>
    </w:p>
    <w:p w14:paraId="2FF8B87A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lastRenderedPageBreak/>
        <w:t>5.2.3. baigusiųjų ir tais pačiais metais tęsiančių mokymąsi ar studijas kitame švietimo lygmenyje arba dirbančių asmenų dalis.</w:t>
      </w:r>
    </w:p>
    <w:p w14:paraId="79213918" w14:textId="77777777" w:rsidR="00225CC5" w:rsidRDefault="002F2BF0" w:rsidP="002F2BF0">
      <w:pPr>
        <w:suppressAutoHyphens/>
        <w:spacing w:line="276" w:lineRule="auto"/>
        <w:ind w:firstLine="720"/>
        <w:jc w:val="both"/>
        <w:textAlignment w:val="center"/>
        <w:rPr>
          <w:color w:val="000000"/>
        </w:rPr>
      </w:pPr>
      <w:r>
        <w:rPr>
          <w:color w:val="000000"/>
        </w:rPr>
        <w:t>6. Valstybės (strateginių) švietimo stebėsenos rodiklių sąrašas atnaujinamas ne dažniau kaip kartą per metus.</w:t>
      </w:r>
    </w:p>
    <w:p w14:paraId="4B94D5A5" w14:textId="069D8012" w:rsidR="00225CC5" w:rsidRDefault="002F2BF0" w:rsidP="002F2BF0">
      <w:pPr>
        <w:spacing w:line="276" w:lineRule="auto"/>
        <w:jc w:val="center"/>
      </w:pPr>
      <w:r>
        <w:rPr>
          <w:sz w:val="22"/>
          <w:szCs w:val="22"/>
          <w:lang w:val="en-US"/>
        </w:rPr>
        <w:t>__________________</w:t>
      </w:r>
    </w:p>
    <w:sectPr w:rsidR="00225CC5">
      <w:pgSz w:w="11907" w:h="16840" w:code="9"/>
      <w:pgMar w:top="1134" w:right="1134" w:bottom="1560" w:left="1701" w:header="709" w:footer="709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CD6B1" w14:textId="77777777" w:rsidR="00F37A77" w:rsidRDefault="00F37A77">
      <w:r>
        <w:separator/>
      </w:r>
    </w:p>
  </w:endnote>
  <w:endnote w:type="continuationSeparator" w:id="0">
    <w:p w14:paraId="379EDFB6" w14:textId="77777777" w:rsidR="00F37A77" w:rsidRDefault="00F37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B0818" w14:textId="77777777" w:rsidR="00225CC5" w:rsidRDefault="00225CC5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EF00" w14:textId="77777777" w:rsidR="00225CC5" w:rsidRDefault="00225CC5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28261" w14:textId="77777777" w:rsidR="00225CC5" w:rsidRDefault="00225CC5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0274E" w14:textId="77777777" w:rsidR="00F37A77" w:rsidRDefault="00F37A77">
      <w:r>
        <w:separator/>
      </w:r>
    </w:p>
  </w:footnote>
  <w:footnote w:type="continuationSeparator" w:id="0">
    <w:p w14:paraId="0C550860" w14:textId="77777777" w:rsidR="00F37A77" w:rsidRDefault="00F37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86C05" w14:textId="77777777" w:rsidR="00225CC5" w:rsidRDefault="00225CC5">
    <w:pPr>
      <w:tabs>
        <w:tab w:val="center" w:pos="4153"/>
        <w:tab w:val="right" w:pos="8306"/>
      </w:tabs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F6B08" w14:textId="0A82CE29" w:rsidR="00225CC5" w:rsidRDefault="002F2BF0">
    <w:pPr>
      <w:tabs>
        <w:tab w:val="center" w:pos="4680"/>
        <w:tab w:val="right" w:pos="9360"/>
      </w:tabs>
      <w:jc w:val="center"/>
      <w:rPr>
        <w:sz w:val="22"/>
        <w:szCs w:val="22"/>
        <w:lang w:eastAsia="lt-LT"/>
      </w:rPr>
    </w:pPr>
    <w:r>
      <w:rPr>
        <w:sz w:val="22"/>
        <w:szCs w:val="22"/>
        <w:lang w:eastAsia="lt-LT"/>
      </w:rPr>
      <w:fldChar w:fldCharType="begin"/>
    </w:r>
    <w:r>
      <w:rPr>
        <w:sz w:val="22"/>
        <w:szCs w:val="22"/>
        <w:lang w:eastAsia="lt-LT"/>
      </w:rPr>
      <w:instrText>PAGE   \* MERGEFORMAT</w:instrText>
    </w:r>
    <w:r>
      <w:rPr>
        <w:sz w:val="22"/>
        <w:szCs w:val="22"/>
        <w:lang w:eastAsia="lt-LT"/>
      </w:rPr>
      <w:fldChar w:fldCharType="separate"/>
    </w:r>
    <w:r>
      <w:rPr>
        <w:noProof/>
        <w:sz w:val="22"/>
        <w:szCs w:val="22"/>
        <w:lang w:eastAsia="lt-LT"/>
      </w:rPr>
      <w:t>3</w:t>
    </w:r>
    <w:r>
      <w:rPr>
        <w:sz w:val="22"/>
        <w:szCs w:val="22"/>
        <w:lang w:eastAsia="lt-LT"/>
      </w:rPr>
      <w:fldChar w:fldCharType="end"/>
    </w:r>
  </w:p>
  <w:p w14:paraId="049F31CB" w14:textId="77777777" w:rsidR="00225CC5" w:rsidRDefault="00225CC5">
    <w:pPr>
      <w:tabs>
        <w:tab w:val="center" w:pos="4153"/>
        <w:tab w:val="right" w:pos="8306"/>
      </w:tabs>
      <w:rPr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1652C" w14:textId="77777777" w:rsidR="00225CC5" w:rsidRDefault="00225CC5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2FD"/>
    <w:rsid w:val="00225CC5"/>
    <w:rsid w:val="002F2BF0"/>
    <w:rsid w:val="00805272"/>
    <w:rsid w:val="00C732FD"/>
    <w:rsid w:val="00F3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531E9"/>
  <w15:docId w15:val="{09E84456-E8F1-4EF2-9FFE-08127E610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>
  <documentManagement/>
</p:properties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ECFFBDDA118244861569856C5AC6C3" ma:contentTypeVersion="0" ma:contentTypeDescription="Kurkite naują dokumentą." ma:contentTypeScope="" ma:versionID="e894898859fc6bec26f1b7b2ed962d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2f6efcb3d141a2d8cf8d4aae0174d8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6D281-5423-48B4-A59E-7A9FA71FE3B9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B8DCBD2-C04C-4A3D-85C6-D36791EB9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05092F-3FEA-47EB-A642-F198E3ADC2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031B139-F752-4CA6-A4DC-75DCFB08D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4010</Words>
  <Characters>2287</Characters>
  <Application>Microsoft Office Word</Application>
  <DocSecurity>0</DocSecurity>
  <Lines>19</Lines>
  <Paragraphs>12</Paragraphs>
  <ScaleCrop>false</ScaleCrop>
  <Company>HP</Company>
  <LinksUpToDate>false</LinksUpToDate>
  <CharactersWithSpaces>6285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38caa470-a05a-473e-8c45-523be8d2b4f0</dc:title>
  <dc:creator>Cibulskaitė Ugnė</dc:creator>
  <cp:lastModifiedBy>Vartotojas</cp:lastModifiedBy>
  <cp:revision>2</cp:revision>
  <dcterms:created xsi:type="dcterms:W3CDTF">2022-03-21T07:17:00Z</dcterms:created>
  <dcterms:modified xsi:type="dcterms:W3CDTF">2022-03-21T07:17:00Z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0x010100D8ECFFBDDA118244861569856C5AC6C3</vt:lpwstr>
  </property>
</Properties>
</file>