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211D9" w14:textId="77777777" w:rsidR="00767F2F" w:rsidRDefault="00000000">
      <w:pPr>
        <w:ind w:left="6048"/>
        <w:rPr>
          <w:b/>
        </w:rPr>
      </w:pPr>
      <w:r>
        <w:rPr>
          <w:b/>
        </w:rPr>
        <w:tab/>
      </w:r>
      <w:r>
        <w:rPr>
          <w:b/>
        </w:rPr>
        <w:tab/>
        <w:t>Projektas</w:t>
      </w:r>
    </w:p>
    <w:p w14:paraId="4CF38381" w14:textId="77777777" w:rsidR="00767F2F" w:rsidRDefault="00000000">
      <w:pPr>
        <w:jc w:val="center"/>
        <w:rPr>
          <w:szCs w:val="24"/>
          <w:lang w:eastAsia="ar-SA"/>
        </w:rPr>
      </w:pPr>
      <w:r>
        <w:rPr>
          <w:rFonts w:cs="Tahoma"/>
          <w:noProof/>
          <w:szCs w:val="24"/>
          <w:lang w:eastAsia="lt-LT"/>
        </w:rPr>
        <w:drawing>
          <wp:inline distT="0" distB="0" distL="0" distR="0" wp14:anchorId="020A27FA" wp14:editId="5AAC55AB">
            <wp:extent cx="575310" cy="679450"/>
            <wp:effectExtent l="0" t="0" r="0" b="0"/>
            <wp:docPr id="1" name="Paveikslėlis 1268298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268298999"/>
                    <pic:cNvPicPr>
                      <a:picLocks noChangeAspect="1" noChangeArrowheads="1"/>
                    </pic:cNvPicPr>
                  </pic:nvPicPr>
                  <pic:blipFill>
                    <a:blip r:embed="rId4"/>
                    <a:srcRect l="-48" t="-41" r="-48" b="-41"/>
                    <a:stretch>
                      <a:fillRect/>
                    </a:stretch>
                  </pic:blipFill>
                  <pic:spPr bwMode="auto">
                    <a:xfrm>
                      <a:off x="0" y="0"/>
                      <a:ext cx="575310" cy="679450"/>
                    </a:xfrm>
                    <a:prstGeom prst="rect">
                      <a:avLst/>
                    </a:prstGeom>
                  </pic:spPr>
                </pic:pic>
              </a:graphicData>
            </a:graphic>
          </wp:inline>
        </w:drawing>
      </w:r>
    </w:p>
    <w:p w14:paraId="3508C541" w14:textId="77777777" w:rsidR="00767F2F" w:rsidRDefault="00767F2F">
      <w:pPr>
        <w:jc w:val="center"/>
        <w:rPr>
          <w:szCs w:val="24"/>
          <w:lang w:eastAsia="ar-SA"/>
        </w:rPr>
      </w:pPr>
    </w:p>
    <w:p w14:paraId="2C841CD7" w14:textId="77777777" w:rsidR="00767F2F" w:rsidRDefault="00000000">
      <w:pPr>
        <w:jc w:val="center"/>
        <w:rPr>
          <w:b/>
          <w:bCs/>
          <w:caps/>
          <w:szCs w:val="24"/>
          <w:lang w:eastAsia="ar-SA"/>
        </w:rPr>
      </w:pPr>
      <w:r>
        <w:rPr>
          <w:b/>
          <w:bCs/>
          <w:caps/>
          <w:szCs w:val="24"/>
          <w:lang w:eastAsia="ar-SA"/>
        </w:rPr>
        <w:t>kėdainių rajono savivaldybėS TARYBA</w:t>
      </w:r>
    </w:p>
    <w:p w14:paraId="63532FDB" w14:textId="77777777" w:rsidR="00767F2F" w:rsidRDefault="00767F2F">
      <w:pPr>
        <w:jc w:val="center"/>
        <w:rPr>
          <w:b/>
          <w:bCs/>
          <w:caps/>
          <w:szCs w:val="24"/>
          <w:lang w:eastAsia="ar-SA"/>
        </w:rPr>
      </w:pPr>
    </w:p>
    <w:p w14:paraId="095FD6E7" w14:textId="77777777" w:rsidR="00767F2F" w:rsidRDefault="00000000">
      <w:pPr>
        <w:jc w:val="center"/>
        <w:rPr>
          <w:b/>
          <w:sz w:val="28"/>
          <w:szCs w:val="28"/>
          <w:lang w:eastAsia="lt-LT"/>
        </w:rPr>
      </w:pPr>
      <w:r>
        <w:rPr>
          <w:b/>
          <w:bCs/>
          <w:caps/>
          <w:szCs w:val="24"/>
          <w:lang w:eastAsia="ar-SA"/>
        </w:rPr>
        <w:t>SPRENDIMAS</w:t>
      </w:r>
    </w:p>
    <w:p w14:paraId="3CC41670" w14:textId="77777777" w:rsidR="00767F2F" w:rsidRDefault="00000000">
      <w:pPr>
        <w:spacing w:line="276" w:lineRule="auto"/>
        <w:contextualSpacing/>
        <w:jc w:val="center"/>
        <w:rPr>
          <w:rFonts w:eastAsia="Calibri"/>
          <w:b/>
          <w:bCs/>
          <w:szCs w:val="24"/>
          <w:lang w:eastAsia="lt-LT"/>
        </w:rPr>
      </w:pPr>
      <w:r>
        <w:rPr>
          <w:b/>
          <w:szCs w:val="24"/>
          <w:lang w:eastAsia="lt-LT"/>
        </w:rPr>
        <w:t>DĖL KĖDAINIŲ RAJONO SAVIVALDYBĖS TARYBOS 2026 M. VASARIO 20 D. SPRENDIMO NR. TS-36 „</w:t>
      </w:r>
      <w:r>
        <w:rPr>
          <w:rFonts w:eastAsia="Calibri"/>
          <w:b/>
          <w:bCs/>
          <w:szCs w:val="24"/>
          <w:lang w:eastAsia="lt-LT"/>
        </w:rPr>
        <w:t xml:space="preserve">DĖL KĖDAINIŲ RAJONO SAVIVALDYBĖS </w:t>
      </w:r>
    </w:p>
    <w:p w14:paraId="499D9B35" w14:textId="77777777" w:rsidR="00767F2F" w:rsidRDefault="00000000">
      <w:pPr>
        <w:spacing w:line="276" w:lineRule="auto"/>
        <w:contextualSpacing/>
        <w:jc w:val="center"/>
        <w:rPr>
          <w:b/>
          <w:szCs w:val="24"/>
          <w:lang w:eastAsia="lt-LT"/>
        </w:rPr>
      </w:pPr>
      <w:r>
        <w:rPr>
          <w:rFonts w:eastAsia="Calibri"/>
          <w:b/>
          <w:bCs/>
          <w:szCs w:val="24"/>
          <w:lang w:eastAsia="lt-LT"/>
        </w:rPr>
        <w:t>2026–2028  METŲ BIUDŽETO PATVIRTINIMO</w:t>
      </w:r>
      <w:r>
        <w:rPr>
          <w:b/>
          <w:szCs w:val="24"/>
          <w:lang w:eastAsia="lt-LT"/>
        </w:rPr>
        <w:t>“  PAKEITIMO</w:t>
      </w:r>
    </w:p>
    <w:p w14:paraId="3E5815E6" w14:textId="77777777" w:rsidR="00767F2F" w:rsidRDefault="00767F2F">
      <w:pPr>
        <w:jc w:val="center"/>
        <w:rPr>
          <w:b/>
          <w:szCs w:val="24"/>
          <w:lang w:eastAsia="lt-LT"/>
        </w:rPr>
      </w:pPr>
    </w:p>
    <w:p w14:paraId="0D5515A7" w14:textId="4A7B2905" w:rsidR="008D7C38" w:rsidRPr="00EC1F0C" w:rsidRDefault="008D7C38" w:rsidP="008D7C38">
      <w:pPr>
        <w:contextualSpacing/>
        <w:jc w:val="center"/>
        <w:rPr>
          <w:szCs w:val="24"/>
        </w:rPr>
      </w:pPr>
      <w:bookmarkStart w:id="0" w:name="_Hlk208906582"/>
      <w:bookmarkStart w:id="1" w:name="_Hlk216274433"/>
      <w:bookmarkStart w:id="2" w:name="_Hlk214265144"/>
      <w:bookmarkStart w:id="3" w:name="_Hlk207786081"/>
      <w:r w:rsidRPr="00EC1F0C">
        <w:rPr>
          <w:szCs w:val="24"/>
        </w:rPr>
        <w:t xml:space="preserve">2026 m. </w:t>
      </w:r>
      <w:r>
        <w:rPr>
          <w:szCs w:val="24"/>
        </w:rPr>
        <w:t>spalio 22</w:t>
      </w:r>
      <w:r w:rsidRPr="00EC1F0C">
        <w:rPr>
          <w:szCs w:val="24"/>
        </w:rPr>
        <w:t xml:space="preserve"> d. Nr. </w:t>
      </w:r>
      <w:bookmarkEnd w:id="0"/>
      <w:r w:rsidRPr="00EC1F0C">
        <w:rPr>
          <w:szCs w:val="24"/>
        </w:rPr>
        <w:t>SP-</w:t>
      </w:r>
      <w:bookmarkEnd w:id="1"/>
      <w:r>
        <w:rPr>
          <w:szCs w:val="24"/>
        </w:rPr>
        <w:t>223</w:t>
      </w:r>
      <w:r w:rsidRPr="00EC1F0C">
        <w:rPr>
          <w:szCs w:val="24"/>
        </w:rPr>
        <w:t xml:space="preserve">  </w:t>
      </w:r>
      <w:bookmarkEnd w:id="2"/>
    </w:p>
    <w:bookmarkEnd w:id="3"/>
    <w:p w14:paraId="24C597D8" w14:textId="77777777" w:rsidR="00767F2F" w:rsidRDefault="00000000">
      <w:pPr>
        <w:jc w:val="center"/>
        <w:rPr>
          <w:szCs w:val="24"/>
          <w:lang w:eastAsia="lt-LT"/>
        </w:rPr>
      </w:pPr>
      <w:r>
        <w:rPr>
          <w:szCs w:val="24"/>
          <w:lang w:eastAsia="lt-LT"/>
        </w:rPr>
        <w:t>Kėdainiai</w:t>
      </w:r>
    </w:p>
    <w:p w14:paraId="4B5EF2B7" w14:textId="77777777" w:rsidR="00767F2F" w:rsidRDefault="00767F2F">
      <w:pPr>
        <w:jc w:val="center"/>
        <w:rPr>
          <w:szCs w:val="24"/>
          <w:lang w:eastAsia="lt-LT"/>
        </w:rPr>
      </w:pPr>
    </w:p>
    <w:p w14:paraId="149227A1" w14:textId="77777777" w:rsidR="00767F2F" w:rsidRDefault="00000000">
      <w:pPr>
        <w:ind w:firstLine="720"/>
        <w:jc w:val="both"/>
      </w:pPr>
      <w:r>
        <w:rPr>
          <w:szCs w:val="24"/>
          <w:lang w:eastAsia="lt-LT"/>
        </w:rPr>
        <w:t>Kėdainių rajono savivaldybės taryba  n u s p r e n d ž i a:</w:t>
      </w:r>
    </w:p>
    <w:p w14:paraId="46071A76" w14:textId="77777777" w:rsidR="00767F2F" w:rsidRDefault="00000000">
      <w:pPr>
        <w:ind w:firstLine="720"/>
        <w:jc w:val="both"/>
      </w:pPr>
      <w:r>
        <w:rPr>
          <w:szCs w:val="24"/>
          <w:lang w:eastAsia="lt-LT"/>
        </w:rPr>
        <w:t>Pakeisti Kėdainių rajono savivaldybės tarybos 2026 m. vasario 20 d. sprendimą Nr. TS-36 „D</w:t>
      </w:r>
      <w:r>
        <w:rPr>
          <w:bCs/>
          <w:szCs w:val="24"/>
          <w:lang w:eastAsia="lt-LT"/>
        </w:rPr>
        <w:t>ėl Kėdainių rajono savivaldybės 2026–2028  metų biudžeto patvirtinimo</w:t>
      </w:r>
      <w:r>
        <w:rPr>
          <w:szCs w:val="24"/>
          <w:lang w:eastAsia="lt-LT"/>
        </w:rPr>
        <w:t>“:</w:t>
      </w:r>
    </w:p>
    <w:p w14:paraId="198F0BF1" w14:textId="77777777" w:rsidR="00767F2F" w:rsidRDefault="00000000">
      <w:pPr>
        <w:spacing w:line="256" w:lineRule="auto"/>
        <w:ind w:left="710"/>
        <w:jc w:val="both"/>
      </w:pPr>
      <w:r>
        <w:rPr>
          <w:szCs w:val="24"/>
        </w:rPr>
        <w:t xml:space="preserve">1. </w:t>
      </w:r>
      <w:bookmarkStart w:id="4" w:name="_Hlk214023955"/>
      <w:r>
        <w:rPr>
          <w:color w:val="000000"/>
          <w:szCs w:val="24"/>
          <w:lang w:eastAsia="lt-LT"/>
        </w:rPr>
        <w:t xml:space="preserve">Pakeisti </w:t>
      </w:r>
      <w:bookmarkEnd w:id="4"/>
      <w:r>
        <w:rPr>
          <w:szCs w:val="24"/>
        </w:rPr>
        <w:t xml:space="preserve">1.1 </w:t>
      </w:r>
      <w:bookmarkStart w:id="5" w:name="_Hlk214024030"/>
      <w:r>
        <w:rPr>
          <w:szCs w:val="24"/>
        </w:rPr>
        <w:t xml:space="preserve">papunktį ir jį išdėstyti </w:t>
      </w:r>
      <w:bookmarkEnd w:id="5"/>
      <w:r>
        <w:rPr>
          <w:szCs w:val="24"/>
        </w:rPr>
        <w:t>taip:</w:t>
      </w:r>
    </w:p>
    <w:p w14:paraId="1FC9E5AF" w14:textId="77777777" w:rsidR="00767F2F" w:rsidRDefault="00000000">
      <w:pPr>
        <w:spacing w:line="276" w:lineRule="auto"/>
        <w:ind w:firstLine="680"/>
        <w:jc w:val="both"/>
      </w:pPr>
      <w:r>
        <w:rPr>
          <w:szCs w:val="24"/>
          <w:lang w:eastAsia="lt-LT"/>
        </w:rPr>
        <w:t xml:space="preserve">„1.1. 2026 metams – 122 975,1 tūkst. Eur ir jų paskirstymą pagal pajamų rūšis, finansinių įsipareigojimų prisiėmimą (skolinimąsi) ‒ 4 375,2 tūkst. Eur, metų pradžios lėšų likutį – 7 448,0 tūkst. Eur (1 priedas). Iš jų  ̶  iš biudžeto išlaikomų įstaigų 2026 metų pajamas už prekes ir paslaugas – 3 322,6 tūkst. Eur (2 priedas).“   </w:t>
      </w:r>
    </w:p>
    <w:p w14:paraId="1F7D28D8" w14:textId="77777777" w:rsidR="00767F2F" w:rsidRDefault="00000000">
      <w:pPr>
        <w:ind w:firstLine="720"/>
        <w:jc w:val="both"/>
        <w:rPr>
          <w:szCs w:val="24"/>
          <w:lang w:eastAsia="lt-LT"/>
        </w:rPr>
      </w:pPr>
      <w:r>
        <w:rPr>
          <w:szCs w:val="24"/>
          <w:lang w:eastAsia="lt-LT"/>
        </w:rPr>
        <w:t xml:space="preserve">2. </w:t>
      </w:r>
      <w:r>
        <w:rPr>
          <w:color w:val="000000"/>
          <w:szCs w:val="24"/>
          <w:lang w:eastAsia="lt-LT"/>
        </w:rPr>
        <w:t xml:space="preserve">Pakeisti </w:t>
      </w:r>
      <w:r>
        <w:rPr>
          <w:szCs w:val="24"/>
          <w:lang w:eastAsia="lt-LT"/>
        </w:rPr>
        <w:t xml:space="preserve">1 priedą ir </w:t>
      </w:r>
      <w:bookmarkStart w:id="6" w:name="_Hlk214024055"/>
      <w:r>
        <w:rPr>
          <w:szCs w:val="24"/>
          <w:lang w:eastAsia="lt-LT"/>
        </w:rPr>
        <w:t xml:space="preserve">jį išdėstyti nauja </w:t>
      </w:r>
      <w:bookmarkEnd w:id="6"/>
      <w:r>
        <w:rPr>
          <w:szCs w:val="24"/>
          <w:lang w:eastAsia="lt-LT"/>
        </w:rPr>
        <w:t>redakcija (pridedama).</w:t>
      </w:r>
    </w:p>
    <w:p w14:paraId="1F9497C6" w14:textId="77777777" w:rsidR="00767F2F" w:rsidRDefault="00000000">
      <w:pPr>
        <w:ind w:firstLine="720"/>
        <w:jc w:val="both"/>
      </w:pPr>
      <w:r>
        <w:rPr>
          <w:szCs w:val="24"/>
          <w:lang w:eastAsia="lt-LT"/>
        </w:rPr>
        <w:t xml:space="preserve">3. </w:t>
      </w:r>
      <w:r>
        <w:rPr>
          <w:color w:val="000000"/>
          <w:szCs w:val="24"/>
          <w:lang w:eastAsia="lt-LT"/>
        </w:rPr>
        <w:t xml:space="preserve">Pakeisti </w:t>
      </w:r>
      <w:r>
        <w:rPr>
          <w:szCs w:val="24"/>
          <w:lang w:eastAsia="lt-LT"/>
        </w:rPr>
        <w:t xml:space="preserve">2.1 papunktį </w:t>
      </w:r>
      <w:r>
        <w:rPr>
          <w:szCs w:val="24"/>
        </w:rPr>
        <w:t xml:space="preserve">ir jį išdėstyti </w:t>
      </w:r>
      <w:r>
        <w:rPr>
          <w:szCs w:val="24"/>
          <w:lang w:eastAsia="lt-LT"/>
        </w:rPr>
        <w:t>taip:</w:t>
      </w:r>
    </w:p>
    <w:p w14:paraId="228F4E57" w14:textId="77777777" w:rsidR="00767F2F" w:rsidRDefault="00000000">
      <w:pPr>
        <w:spacing w:line="276" w:lineRule="auto"/>
        <w:ind w:firstLine="680"/>
        <w:jc w:val="both"/>
        <w:rPr>
          <w:szCs w:val="24"/>
          <w:lang w:eastAsia="lt-LT"/>
        </w:rPr>
      </w:pPr>
      <w:r>
        <w:rPr>
          <w:szCs w:val="24"/>
          <w:lang w:eastAsia="lt-LT"/>
        </w:rPr>
        <w:t>„2.1. 2026 metams – 134 798,3 tūkst. Eur ir jų paskirstymą Savivaldybės administracijai ir (ar) Savivaldybės administracijos struktūriniams padaliniams ar Savivaldybės biudžetinėms įstaigoms programoms vykdyti (3 priedas);“</w:t>
      </w:r>
    </w:p>
    <w:p w14:paraId="6EBD170D" w14:textId="77777777" w:rsidR="00767F2F" w:rsidRDefault="00000000">
      <w:pPr>
        <w:ind w:firstLine="720"/>
        <w:jc w:val="both"/>
        <w:rPr>
          <w:szCs w:val="24"/>
          <w:lang w:eastAsia="lt-LT"/>
        </w:rPr>
      </w:pPr>
      <w:r>
        <w:rPr>
          <w:szCs w:val="24"/>
          <w:lang w:eastAsia="lt-LT"/>
        </w:rPr>
        <w:t xml:space="preserve">5. </w:t>
      </w:r>
      <w:bookmarkStart w:id="7" w:name="_Hlk201050172"/>
      <w:r>
        <w:rPr>
          <w:color w:val="000000"/>
          <w:szCs w:val="24"/>
          <w:lang w:eastAsia="lt-LT"/>
        </w:rPr>
        <w:t xml:space="preserve">Pakeisti </w:t>
      </w:r>
      <w:r>
        <w:rPr>
          <w:szCs w:val="24"/>
          <w:lang w:eastAsia="lt-LT"/>
        </w:rPr>
        <w:t xml:space="preserve">3 priedą ir jį išdėstyti </w:t>
      </w:r>
      <w:bookmarkEnd w:id="7"/>
      <w:r>
        <w:rPr>
          <w:szCs w:val="24"/>
          <w:lang w:eastAsia="lt-LT"/>
        </w:rPr>
        <w:t>nauja redakcija (pridedama).</w:t>
      </w:r>
    </w:p>
    <w:p w14:paraId="672A3772" w14:textId="77777777" w:rsidR="00767F2F" w:rsidRDefault="00767F2F">
      <w:pPr>
        <w:spacing w:line="276" w:lineRule="auto"/>
        <w:ind w:firstLine="851"/>
        <w:jc w:val="both"/>
        <w:rPr>
          <w:szCs w:val="24"/>
          <w:lang w:eastAsia="lt-LT"/>
        </w:rPr>
      </w:pPr>
    </w:p>
    <w:p w14:paraId="4E11564A" w14:textId="77777777" w:rsidR="00767F2F" w:rsidRDefault="00767F2F">
      <w:pPr>
        <w:ind w:firstLine="720"/>
        <w:jc w:val="both"/>
        <w:rPr>
          <w:szCs w:val="24"/>
          <w:lang w:eastAsia="lt-LT"/>
        </w:rPr>
      </w:pPr>
    </w:p>
    <w:p w14:paraId="0A2835B2" w14:textId="77777777" w:rsidR="00767F2F" w:rsidRDefault="00000000">
      <w:pPr>
        <w:rPr>
          <w:szCs w:val="24"/>
          <w:lang w:eastAsia="lt-LT"/>
        </w:rPr>
      </w:pPr>
      <w:r>
        <w:rPr>
          <w:szCs w:val="24"/>
          <w:lang w:eastAsia="lt-LT"/>
        </w:rPr>
        <w:t>Savivaldybės meras</w:t>
      </w:r>
    </w:p>
    <w:p w14:paraId="43A094DA" w14:textId="77777777" w:rsidR="00767F2F" w:rsidRDefault="00767F2F">
      <w:pPr>
        <w:rPr>
          <w:szCs w:val="24"/>
          <w:lang w:eastAsia="lt-LT"/>
        </w:rPr>
      </w:pPr>
    </w:p>
    <w:p w14:paraId="027B48F7" w14:textId="77777777" w:rsidR="00767F2F" w:rsidRDefault="00767F2F">
      <w:pPr>
        <w:rPr>
          <w:szCs w:val="24"/>
          <w:lang w:eastAsia="lt-LT"/>
        </w:rPr>
      </w:pPr>
    </w:p>
    <w:p w14:paraId="4EAAD012" w14:textId="77777777" w:rsidR="00767F2F" w:rsidRDefault="00767F2F">
      <w:pPr>
        <w:rPr>
          <w:szCs w:val="24"/>
          <w:lang w:eastAsia="lt-LT"/>
        </w:rPr>
      </w:pPr>
    </w:p>
    <w:p w14:paraId="09FD200E" w14:textId="77777777" w:rsidR="00767F2F" w:rsidRDefault="00767F2F">
      <w:pPr>
        <w:rPr>
          <w:rFonts w:eastAsia="Calibri"/>
          <w:szCs w:val="24"/>
          <w:lang w:eastAsia="lt-LT"/>
        </w:rPr>
      </w:pPr>
    </w:p>
    <w:p w14:paraId="4EC37793" w14:textId="77777777" w:rsidR="00767F2F" w:rsidRDefault="00000000">
      <w:pPr>
        <w:ind w:firstLine="2188"/>
        <w:jc w:val="both"/>
        <w:rPr>
          <w:color w:val="000000"/>
          <w:szCs w:val="24"/>
          <w:lang w:eastAsia="lt-LT"/>
        </w:rPr>
      </w:pPr>
      <w:bookmarkStart w:id="8" w:name="part_7b55e3d045174f62b7317d8e93b5516d"/>
      <w:bookmarkEnd w:id="8"/>
      <w:r>
        <w:rPr>
          <w:color w:val="000000"/>
          <w:szCs w:val="24"/>
          <w:lang w:eastAsia="lt-LT"/>
        </w:rPr>
        <w:t> </w:t>
      </w:r>
    </w:p>
    <w:p w14:paraId="3BCF2EF9" w14:textId="77777777" w:rsidR="00767F2F" w:rsidRDefault="00767F2F">
      <w:pPr>
        <w:spacing w:after="200" w:line="276" w:lineRule="auto"/>
        <w:rPr>
          <w:color w:val="000000"/>
          <w:szCs w:val="24"/>
          <w:lang w:eastAsia="lt-LT"/>
        </w:rPr>
      </w:pPr>
    </w:p>
    <w:p w14:paraId="1649E7DE" w14:textId="77777777" w:rsidR="00767F2F" w:rsidRDefault="00767F2F">
      <w:pPr>
        <w:spacing w:after="200" w:line="276" w:lineRule="auto"/>
        <w:rPr>
          <w:szCs w:val="24"/>
          <w:lang w:eastAsia="lt-LT"/>
        </w:rPr>
      </w:pPr>
    </w:p>
    <w:p w14:paraId="2C50E839" w14:textId="77777777" w:rsidR="00767F2F" w:rsidRDefault="00767F2F">
      <w:pPr>
        <w:spacing w:after="200" w:line="276" w:lineRule="auto"/>
        <w:rPr>
          <w:szCs w:val="24"/>
          <w:lang w:eastAsia="lt-LT"/>
        </w:rPr>
      </w:pPr>
    </w:p>
    <w:p w14:paraId="36E98B81" w14:textId="77777777" w:rsidR="00767F2F" w:rsidRDefault="00767F2F">
      <w:pPr>
        <w:spacing w:after="200" w:line="276" w:lineRule="auto"/>
        <w:rPr>
          <w:szCs w:val="24"/>
          <w:lang w:eastAsia="lt-LT"/>
        </w:rPr>
      </w:pPr>
    </w:p>
    <w:p w14:paraId="3899A191" w14:textId="77777777" w:rsidR="00767F2F" w:rsidRDefault="00767F2F">
      <w:pPr>
        <w:spacing w:after="200" w:line="276" w:lineRule="auto"/>
        <w:rPr>
          <w:szCs w:val="24"/>
          <w:lang w:eastAsia="lt-LT"/>
        </w:rPr>
      </w:pPr>
    </w:p>
    <w:p w14:paraId="78D7F903" w14:textId="77777777" w:rsidR="00767F2F" w:rsidRDefault="00767F2F">
      <w:pPr>
        <w:spacing w:after="200" w:line="276" w:lineRule="auto"/>
        <w:rPr>
          <w:szCs w:val="24"/>
          <w:lang w:eastAsia="lt-LT"/>
        </w:rPr>
      </w:pPr>
    </w:p>
    <w:p w14:paraId="015DAF8A" w14:textId="77777777" w:rsidR="008D7C38" w:rsidRDefault="008D7C38">
      <w:pPr>
        <w:spacing w:after="200" w:line="276" w:lineRule="auto"/>
        <w:rPr>
          <w:szCs w:val="24"/>
          <w:lang w:eastAsia="lt-LT"/>
        </w:rPr>
      </w:pPr>
      <w:r>
        <w:rPr>
          <w:szCs w:val="24"/>
          <w:lang w:eastAsia="lt-LT"/>
        </w:rPr>
        <w:br w:type="page"/>
      </w:r>
    </w:p>
    <w:p w14:paraId="1078D0EB" w14:textId="74F54B7B" w:rsidR="00767F2F" w:rsidRDefault="00000000">
      <w:pPr>
        <w:spacing w:after="200" w:line="276" w:lineRule="auto"/>
      </w:pPr>
      <w:r>
        <w:rPr>
          <w:szCs w:val="24"/>
          <w:lang w:eastAsia="lt-LT"/>
        </w:rPr>
        <w:lastRenderedPageBreak/>
        <w:t>Kėdainių rajono savivaldybės tarybai</w:t>
      </w:r>
      <w:r>
        <w:rPr>
          <w:b/>
          <w:szCs w:val="24"/>
          <w:lang w:eastAsia="lt-LT"/>
        </w:rPr>
        <w:t xml:space="preserve">               </w:t>
      </w:r>
    </w:p>
    <w:p w14:paraId="05F37F59" w14:textId="77777777" w:rsidR="00767F2F" w:rsidRDefault="00000000">
      <w:pPr>
        <w:jc w:val="center"/>
        <w:rPr>
          <w:b/>
          <w:spacing w:val="6"/>
          <w:szCs w:val="24"/>
          <w:lang w:eastAsia="lt-LT"/>
        </w:rPr>
      </w:pPr>
      <w:r>
        <w:rPr>
          <w:b/>
          <w:spacing w:val="6"/>
          <w:szCs w:val="24"/>
          <w:lang w:eastAsia="lt-LT"/>
        </w:rPr>
        <w:t>AIŠKINAMASIS RAŠTAS</w:t>
      </w:r>
    </w:p>
    <w:p w14:paraId="696920BE" w14:textId="77777777" w:rsidR="00767F2F" w:rsidRDefault="00000000">
      <w:pPr>
        <w:spacing w:line="276" w:lineRule="auto"/>
        <w:contextualSpacing/>
        <w:jc w:val="center"/>
        <w:rPr>
          <w:rFonts w:eastAsia="Calibri"/>
          <w:b/>
          <w:bCs/>
          <w:szCs w:val="24"/>
          <w:lang w:eastAsia="lt-LT"/>
        </w:rPr>
      </w:pPr>
      <w:r>
        <w:rPr>
          <w:b/>
          <w:szCs w:val="24"/>
          <w:lang w:eastAsia="lt-LT"/>
        </w:rPr>
        <w:t>DĖL KĖDAINIŲ RAJONO SAVIVALDYBĖS TARYBOS 2026 M. VASARIO 20 D. SPRENDIMO NR. TS-36 „</w:t>
      </w:r>
      <w:r>
        <w:rPr>
          <w:rFonts w:eastAsia="Calibri"/>
          <w:b/>
          <w:bCs/>
          <w:szCs w:val="24"/>
          <w:lang w:eastAsia="lt-LT"/>
        </w:rPr>
        <w:t xml:space="preserve">DĖL KĖDAINIŲ RAJONO SAVIVALDYBĖS </w:t>
      </w:r>
    </w:p>
    <w:p w14:paraId="011A07B2" w14:textId="77777777" w:rsidR="00767F2F" w:rsidRDefault="00000000">
      <w:pPr>
        <w:jc w:val="center"/>
        <w:rPr>
          <w:b/>
          <w:szCs w:val="24"/>
          <w:lang w:eastAsia="lt-LT"/>
        </w:rPr>
      </w:pPr>
      <w:r>
        <w:rPr>
          <w:rFonts w:eastAsia="Calibri"/>
          <w:b/>
          <w:bCs/>
          <w:szCs w:val="24"/>
          <w:lang w:eastAsia="lt-LT"/>
        </w:rPr>
        <w:t>2026–2028  METŲ BIUDŽETO PATVIRTINIMO</w:t>
      </w:r>
      <w:r>
        <w:rPr>
          <w:b/>
          <w:szCs w:val="24"/>
          <w:lang w:eastAsia="lt-LT"/>
        </w:rPr>
        <w:t>“  PAKEITIMO</w:t>
      </w:r>
    </w:p>
    <w:p w14:paraId="5EA5F601" w14:textId="77777777" w:rsidR="00767F2F" w:rsidRDefault="00767F2F">
      <w:pPr>
        <w:jc w:val="center"/>
        <w:rPr>
          <w:b/>
          <w:szCs w:val="24"/>
          <w:lang w:eastAsia="lt-LT"/>
        </w:rPr>
      </w:pPr>
      <w:bookmarkStart w:id="9" w:name="_Hlk213942821"/>
      <w:bookmarkEnd w:id="9"/>
    </w:p>
    <w:p w14:paraId="1FDB6300" w14:textId="77777777" w:rsidR="00767F2F" w:rsidRDefault="00000000">
      <w:pPr>
        <w:jc w:val="center"/>
      </w:pPr>
      <w:r>
        <w:rPr>
          <w:spacing w:val="6"/>
          <w:szCs w:val="24"/>
          <w:lang w:eastAsia="lt-LT"/>
        </w:rPr>
        <w:t>2026 m. spalio 15 d.</w:t>
      </w:r>
    </w:p>
    <w:p w14:paraId="3E71C5C0" w14:textId="77777777" w:rsidR="00767F2F" w:rsidRDefault="00000000">
      <w:pPr>
        <w:jc w:val="center"/>
        <w:rPr>
          <w:spacing w:val="6"/>
          <w:szCs w:val="24"/>
          <w:lang w:eastAsia="lt-LT"/>
        </w:rPr>
      </w:pPr>
      <w:r>
        <w:rPr>
          <w:spacing w:val="6"/>
          <w:szCs w:val="24"/>
          <w:lang w:eastAsia="lt-LT"/>
        </w:rPr>
        <w:t>Kėdainiai</w:t>
      </w:r>
    </w:p>
    <w:p w14:paraId="2DBC2CEB" w14:textId="77777777" w:rsidR="00767F2F" w:rsidRDefault="00767F2F">
      <w:pPr>
        <w:jc w:val="center"/>
        <w:rPr>
          <w:spacing w:val="6"/>
          <w:szCs w:val="24"/>
          <w:lang w:eastAsia="lt-LT"/>
        </w:rPr>
      </w:pPr>
    </w:p>
    <w:p w14:paraId="271408DE" w14:textId="77777777" w:rsidR="00767F2F" w:rsidRDefault="00000000">
      <w:pPr>
        <w:spacing w:line="276" w:lineRule="auto"/>
        <w:ind w:firstLine="1296"/>
        <w:jc w:val="both"/>
      </w:pPr>
      <w:r>
        <w:rPr>
          <w:b/>
          <w:spacing w:val="6"/>
          <w:szCs w:val="24"/>
          <w:lang w:eastAsia="lt-LT"/>
        </w:rPr>
        <w:t>Parengto sprendimo projekto tikslai</w:t>
      </w:r>
      <w:r>
        <w:rPr>
          <w:spacing w:val="6"/>
          <w:szCs w:val="24"/>
          <w:lang w:eastAsia="lt-LT"/>
        </w:rPr>
        <w:t>: pakeisti rajono savivaldybės 2026 m. biudžetą.</w:t>
      </w:r>
    </w:p>
    <w:p w14:paraId="46A4E9CA" w14:textId="77777777" w:rsidR="00767F2F" w:rsidRDefault="00000000">
      <w:pPr>
        <w:spacing w:line="276" w:lineRule="auto"/>
        <w:ind w:firstLine="1296"/>
        <w:jc w:val="both"/>
        <w:rPr>
          <w:rFonts w:eastAsia="Calibri"/>
          <w:spacing w:val="6"/>
          <w:szCs w:val="24"/>
        </w:rPr>
      </w:pPr>
      <w:r>
        <w:rPr>
          <w:b/>
          <w:spacing w:val="6"/>
          <w:szCs w:val="24"/>
          <w:lang w:eastAsia="lt-LT"/>
        </w:rPr>
        <w:t>Sprendimo projekto esmė: v</w:t>
      </w:r>
      <w:r>
        <w:rPr>
          <w:bCs/>
          <w:spacing w:val="6"/>
          <w:szCs w:val="24"/>
          <w:lang w:eastAsia="lt-LT"/>
        </w:rPr>
        <w:t xml:space="preserve">adovaujantis teisės aktais, Kėdainių rajono savivaldybės biudžeto pajamos didinamos bendra suma </w:t>
      </w:r>
      <w:r>
        <w:rPr>
          <w:b/>
          <w:spacing w:val="6"/>
          <w:szCs w:val="24"/>
          <w:lang w:eastAsia="lt-LT"/>
        </w:rPr>
        <w:t xml:space="preserve">517,8 </w:t>
      </w:r>
      <w:r>
        <w:rPr>
          <w:rFonts w:eastAsia="Calibri"/>
          <w:b/>
          <w:spacing w:val="6"/>
          <w:szCs w:val="24"/>
        </w:rPr>
        <w:t xml:space="preserve"> t</w:t>
      </w:r>
      <w:r>
        <w:rPr>
          <w:rFonts w:eastAsia="Calibri"/>
          <w:b/>
          <w:bCs/>
          <w:spacing w:val="6"/>
          <w:szCs w:val="24"/>
        </w:rPr>
        <w:t>ūkst. Eur</w:t>
      </w:r>
      <w:r>
        <w:rPr>
          <w:rFonts w:eastAsia="Calibri"/>
          <w:spacing w:val="6"/>
          <w:szCs w:val="24"/>
        </w:rPr>
        <w:t xml:space="preserve">: </w:t>
      </w:r>
    </w:p>
    <w:p w14:paraId="3FA9CC9D" w14:textId="77777777" w:rsidR="00767F2F" w:rsidRDefault="00000000">
      <w:pPr>
        <w:spacing w:line="276" w:lineRule="auto"/>
        <w:ind w:firstLine="1296"/>
        <w:jc w:val="both"/>
        <w:rPr>
          <w:rFonts w:eastAsia="Calibri"/>
          <w:b/>
          <w:bCs/>
          <w:spacing w:val="6"/>
          <w:szCs w:val="24"/>
        </w:rPr>
      </w:pPr>
      <w:r>
        <w:rPr>
          <w:rFonts w:eastAsia="Calibri"/>
          <w:spacing w:val="6"/>
          <w:szCs w:val="24"/>
        </w:rPr>
        <w:t xml:space="preserve">Dotacija savivaldybėms iš Europos Sąjungos, kitos tarptautinės finansinės paramos ir bendrojo finansavimo lėšų didėja </w:t>
      </w:r>
      <w:r>
        <w:rPr>
          <w:rFonts w:eastAsia="Calibri"/>
          <w:b/>
          <w:bCs/>
          <w:spacing w:val="6"/>
          <w:szCs w:val="24"/>
        </w:rPr>
        <w:t>120,0 tūkst. Eur.</w:t>
      </w:r>
    </w:p>
    <w:p w14:paraId="701B81E4" w14:textId="77777777" w:rsidR="00767F2F" w:rsidRDefault="00000000">
      <w:pPr>
        <w:spacing w:line="276" w:lineRule="auto"/>
        <w:jc w:val="both"/>
        <w:rPr>
          <w:rFonts w:eastAsia="Calibri"/>
          <w:spacing w:val="6"/>
          <w:szCs w:val="24"/>
        </w:rPr>
      </w:pPr>
      <w:r>
        <w:rPr>
          <w:rFonts w:eastAsia="Calibri"/>
          <w:spacing w:val="6"/>
          <w:szCs w:val="24"/>
        </w:rPr>
        <w:t>Projektams skiriamos lėšos didinamos atsižvelgiant į projektų veiklų įgyvendinimo eigą.</w:t>
      </w:r>
    </w:p>
    <w:p w14:paraId="6A530661" w14:textId="77777777" w:rsidR="00767F2F" w:rsidRDefault="00000000">
      <w:pPr>
        <w:spacing w:line="276" w:lineRule="auto"/>
        <w:ind w:firstLine="1296"/>
        <w:jc w:val="both"/>
        <w:rPr>
          <w:rFonts w:eastAsia="Calibri"/>
          <w:spacing w:val="6"/>
          <w:szCs w:val="24"/>
        </w:rPr>
      </w:pPr>
      <w:r>
        <w:rPr>
          <w:rFonts w:eastAsia="Calibri"/>
          <w:spacing w:val="6"/>
          <w:szCs w:val="24"/>
        </w:rPr>
        <w:t xml:space="preserve">Speciali tikslinė dotacija funkcijoms vykdyti didėja </w:t>
      </w:r>
      <w:r>
        <w:rPr>
          <w:rFonts w:eastAsia="Calibri"/>
          <w:b/>
          <w:bCs/>
          <w:spacing w:val="6"/>
          <w:szCs w:val="24"/>
        </w:rPr>
        <w:t>335,7 tūkst. Eur</w:t>
      </w:r>
      <w:r>
        <w:rPr>
          <w:rFonts w:eastAsia="Calibri"/>
          <w:spacing w:val="6"/>
          <w:szCs w:val="24"/>
        </w:rPr>
        <w:t>:</w:t>
      </w:r>
    </w:p>
    <w:p w14:paraId="0E28AF80" w14:textId="77777777" w:rsidR="00767F2F" w:rsidRDefault="00000000">
      <w:pPr>
        <w:spacing w:line="276" w:lineRule="auto"/>
        <w:ind w:firstLine="1296"/>
        <w:jc w:val="both"/>
      </w:pPr>
      <w:r>
        <w:rPr>
          <w:rFonts w:eastAsia="Calibri"/>
          <w:spacing w:val="6"/>
          <w:szCs w:val="24"/>
        </w:rPr>
        <w:t xml:space="preserve">socialinėms paslaugoms </w:t>
      </w:r>
      <w:r>
        <w:rPr>
          <w:rFonts w:eastAsia="Calibri"/>
          <w:i/>
          <w:iCs/>
          <w:spacing w:val="6"/>
          <w:szCs w:val="24"/>
        </w:rPr>
        <w:t>didėja</w:t>
      </w:r>
      <w:r>
        <w:rPr>
          <w:rFonts w:eastAsia="Calibri"/>
          <w:spacing w:val="6"/>
          <w:szCs w:val="24"/>
        </w:rPr>
        <w:t xml:space="preserve"> 550,0 tūkst. Eur;</w:t>
      </w:r>
    </w:p>
    <w:p w14:paraId="49E1896E" w14:textId="77777777" w:rsidR="00767F2F" w:rsidRDefault="00000000">
      <w:pPr>
        <w:spacing w:line="276" w:lineRule="auto"/>
        <w:ind w:firstLine="1296"/>
        <w:jc w:val="both"/>
      </w:pPr>
      <w:r>
        <w:rPr>
          <w:rFonts w:eastAsia="Calibri"/>
          <w:spacing w:val="6"/>
          <w:szCs w:val="24"/>
        </w:rPr>
        <w:t xml:space="preserve">jaunimo politikos įgyvendinimui </w:t>
      </w:r>
      <w:r>
        <w:rPr>
          <w:rFonts w:eastAsia="Calibri"/>
          <w:i/>
          <w:iCs/>
          <w:spacing w:val="6"/>
          <w:szCs w:val="24"/>
        </w:rPr>
        <w:t>didėja</w:t>
      </w:r>
      <w:r>
        <w:rPr>
          <w:rFonts w:eastAsia="Calibri"/>
          <w:spacing w:val="6"/>
          <w:szCs w:val="24"/>
        </w:rPr>
        <w:t xml:space="preserve"> 5,2 tūkst. Eur;</w:t>
      </w:r>
    </w:p>
    <w:p w14:paraId="6C62292F" w14:textId="77777777" w:rsidR="00767F2F" w:rsidRDefault="00000000">
      <w:pPr>
        <w:spacing w:line="276" w:lineRule="auto"/>
        <w:ind w:firstLine="1296"/>
        <w:jc w:val="both"/>
      </w:pPr>
      <w:r>
        <w:rPr>
          <w:rFonts w:eastAsia="Calibri"/>
          <w:spacing w:val="6"/>
          <w:szCs w:val="24"/>
        </w:rPr>
        <w:t xml:space="preserve">ugdymo reikmėms finansuoti </w:t>
      </w:r>
      <w:r>
        <w:rPr>
          <w:rFonts w:eastAsia="Calibri"/>
          <w:i/>
          <w:iCs/>
          <w:spacing w:val="6"/>
          <w:szCs w:val="24"/>
        </w:rPr>
        <w:t>mažėja</w:t>
      </w:r>
      <w:r>
        <w:rPr>
          <w:rFonts w:eastAsia="Calibri"/>
          <w:spacing w:val="6"/>
          <w:szCs w:val="24"/>
        </w:rPr>
        <w:t xml:space="preserve"> 219,5 tūkst. Eur.</w:t>
      </w:r>
    </w:p>
    <w:p w14:paraId="0CD2E351" w14:textId="77777777" w:rsidR="00767F2F" w:rsidRDefault="00000000">
      <w:pPr>
        <w:spacing w:line="276" w:lineRule="auto"/>
        <w:jc w:val="both"/>
      </w:pPr>
      <w:r>
        <w:rPr>
          <w:rFonts w:eastAsia="Calibri"/>
          <w:spacing w:val="6"/>
          <w:szCs w:val="24"/>
        </w:rPr>
        <w:t>Lietuvos Respublikos švietimo, mokslo ir sporto ministerija, atsižvelgdama į pakitusį mokinių skaičių einamųjų metų rugsėjo 1 d., perskirstė specialios tikslinės dotacijos dalį, skirtą ugdymo reikmėms finansuoti nuo rugsėjo 1 d. iki einamųjų metų pabaigos. Savivaldybė mokymo lėšas tarp mokyklų perskirsto pasikeitus mokinių ir sąlyginiam klasių (grupių) skaičiui einamųjų metų rugsėjo 1 dieną. 2025 m.  rugsėjo 1 d. buvo 6 683 mokiniai ir 356 klasių komplektai, o 2026 m. rugsėjo 1 d. – 6 461 mokiniai ir 348 klasių komplektai.  Sumažėjo 222 mokiniais o klasių komplektų skaičius – 8 komplektais.</w:t>
      </w:r>
    </w:p>
    <w:p w14:paraId="11675BFE" w14:textId="77777777" w:rsidR="00767F2F" w:rsidRDefault="00000000">
      <w:pPr>
        <w:spacing w:line="276" w:lineRule="auto"/>
        <w:jc w:val="both"/>
      </w:pPr>
      <w:r>
        <w:rPr>
          <w:rFonts w:eastAsia="Calibri"/>
          <w:spacing w:val="6"/>
          <w:szCs w:val="24"/>
        </w:rPr>
        <w:tab/>
        <w:t xml:space="preserve">Valstybės biudžeto lėšų dotacija didėja </w:t>
      </w:r>
      <w:r>
        <w:rPr>
          <w:rFonts w:eastAsia="Calibri"/>
          <w:b/>
          <w:bCs/>
          <w:spacing w:val="6"/>
          <w:szCs w:val="24"/>
        </w:rPr>
        <w:t>62,1</w:t>
      </w:r>
      <w:r>
        <w:rPr>
          <w:rFonts w:eastAsia="Calibri"/>
          <w:spacing w:val="6"/>
          <w:szCs w:val="24"/>
        </w:rPr>
        <w:t xml:space="preserve"> </w:t>
      </w:r>
      <w:r>
        <w:rPr>
          <w:rFonts w:eastAsia="Calibri"/>
          <w:b/>
          <w:bCs/>
          <w:spacing w:val="6"/>
          <w:szCs w:val="24"/>
        </w:rPr>
        <w:t>tūkst. Eur</w:t>
      </w:r>
      <w:r>
        <w:rPr>
          <w:rFonts w:eastAsia="Calibri"/>
          <w:spacing w:val="6"/>
          <w:szCs w:val="24"/>
        </w:rPr>
        <w:t>:</w:t>
      </w:r>
    </w:p>
    <w:p w14:paraId="4540D047" w14:textId="77777777" w:rsidR="00767F2F" w:rsidRDefault="00000000">
      <w:pPr>
        <w:spacing w:line="276" w:lineRule="auto"/>
        <w:ind w:firstLine="1296"/>
        <w:jc w:val="both"/>
      </w:pPr>
      <w:r>
        <w:rPr>
          <w:rFonts w:eastAsia="Calibri"/>
          <w:spacing w:val="6"/>
          <w:szCs w:val="24"/>
        </w:rPr>
        <w:t xml:space="preserve">užtikrinti ugdymo, maitinimo ir pavėžėjimo lėšas socialinę riziką patiriantiems vaikams ikimokykliniame ugdyme </w:t>
      </w:r>
      <w:r>
        <w:rPr>
          <w:rFonts w:eastAsia="Calibri"/>
          <w:i/>
          <w:iCs/>
          <w:spacing w:val="6"/>
          <w:szCs w:val="24"/>
        </w:rPr>
        <w:t xml:space="preserve">didėja </w:t>
      </w:r>
      <w:r>
        <w:rPr>
          <w:rFonts w:eastAsia="Calibri"/>
          <w:spacing w:val="6"/>
          <w:szCs w:val="24"/>
        </w:rPr>
        <w:t>42,9 tūkst. Eur;</w:t>
      </w:r>
    </w:p>
    <w:p w14:paraId="628305B0" w14:textId="77777777" w:rsidR="00767F2F" w:rsidRDefault="00000000">
      <w:pPr>
        <w:spacing w:line="276" w:lineRule="auto"/>
        <w:jc w:val="both"/>
      </w:pPr>
      <w:r>
        <w:rPr>
          <w:rFonts w:eastAsia="Calibri"/>
          <w:spacing w:val="6"/>
          <w:szCs w:val="24"/>
        </w:rPr>
        <w:t>Asignavimai skiriami švietimo įstaigoms, atsižvelgus į vaikų skaičių, kuriems skirtas privalomas ikimokyklinis ugdymas: lopšeliui-darželiui „Aviliukas“ – 11,9 tūkst. Eur, lopšeliui-darželiui „Pasaka“ – 2,4 tūkst. Eur, lopšeliui-darželiui „Puriena“ – 9,6 tūkst. Eur, lopšeliui-darželiui „Vyturėlis“ – 7,1 tūkst. Eur, lopšeliui-darželiui „Žilvitis“ – 9,5 tūkst. Eur, Kėdainių Senamiesčio progimnazijai – 2,4 tūkst. Eur.</w:t>
      </w:r>
    </w:p>
    <w:p w14:paraId="577E1F3B" w14:textId="77777777" w:rsidR="00767F2F" w:rsidRDefault="00000000">
      <w:pPr>
        <w:spacing w:line="276" w:lineRule="auto"/>
        <w:jc w:val="both"/>
        <w:rPr>
          <w:rFonts w:eastAsia="Calibri"/>
          <w:spacing w:val="6"/>
          <w:szCs w:val="24"/>
        </w:rPr>
      </w:pPr>
      <w:r>
        <w:rPr>
          <w:rFonts w:eastAsia="Calibri"/>
          <w:spacing w:val="6"/>
          <w:szCs w:val="24"/>
        </w:rPr>
        <w:tab/>
        <w:t xml:space="preserve">kompleksinėms paslaugoms šeimai organizuoti  </w:t>
      </w:r>
      <w:r>
        <w:rPr>
          <w:rFonts w:eastAsia="Calibri"/>
          <w:i/>
          <w:iCs/>
          <w:spacing w:val="6"/>
          <w:szCs w:val="24"/>
        </w:rPr>
        <w:t xml:space="preserve">didėja </w:t>
      </w:r>
      <w:r>
        <w:rPr>
          <w:rFonts w:eastAsia="Calibri"/>
          <w:spacing w:val="6"/>
          <w:szCs w:val="24"/>
        </w:rPr>
        <w:t>1,5 tūkst. Eur;</w:t>
      </w:r>
    </w:p>
    <w:p w14:paraId="1C8102A9" w14:textId="77777777" w:rsidR="00767F2F" w:rsidRDefault="00000000">
      <w:pPr>
        <w:spacing w:line="276" w:lineRule="auto"/>
        <w:ind w:firstLine="1296"/>
        <w:jc w:val="both"/>
      </w:pPr>
      <w:r>
        <w:rPr>
          <w:rFonts w:eastAsia="Calibri"/>
          <w:spacing w:val="6"/>
          <w:szCs w:val="24"/>
        </w:rPr>
        <w:t xml:space="preserve">akredituotai vaikų dienos socialinei priežiūrai organizuoti, teikti ir administruoti </w:t>
      </w:r>
      <w:r>
        <w:rPr>
          <w:rFonts w:eastAsia="Calibri"/>
          <w:i/>
          <w:iCs/>
          <w:spacing w:val="6"/>
          <w:szCs w:val="24"/>
        </w:rPr>
        <w:t xml:space="preserve">didėja </w:t>
      </w:r>
      <w:r>
        <w:rPr>
          <w:rFonts w:eastAsia="Calibri"/>
          <w:spacing w:val="6"/>
          <w:szCs w:val="24"/>
        </w:rPr>
        <w:t>27,4 tūkst. Eur;</w:t>
      </w:r>
    </w:p>
    <w:p w14:paraId="1C4FDA46" w14:textId="77777777" w:rsidR="00767F2F" w:rsidRDefault="00000000">
      <w:pPr>
        <w:spacing w:line="276" w:lineRule="auto"/>
        <w:ind w:firstLine="1296"/>
        <w:jc w:val="both"/>
      </w:pPr>
      <w:r>
        <w:rPr>
          <w:rFonts w:eastAsia="Calibri"/>
          <w:spacing w:val="6"/>
          <w:szCs w:val="24"/>
        </w:rPr>
        <w:t xml:space="preserve">pagalbai ūkio subjektų žalai, patirtai dėl stichinio meteorologinio reiškinio </w:t>
      </w:r>
      <w:r>
        <w:rPr>
          <w:rFonts w:eastAsia="Calibri"/>
          <w:i/>
          <w:iCs/>
          <w:spacing w:val="6"/>
          <w:szCs w:val="24"/>
        </w:rPr>
        <w:t xml:space="preserve">didėja </w:t>
      </w:r>
      <w:r>
        <w:rPr>
          <w:rFonts w:eastAsia="Calibri"/>
          <w:spacing w:val="6"/>
          <w:szCs w:val="24"/>
        </w:rPr>
        <w:t>34,1 tūkst. Eur;</w:t>
      </w:r>
    </w:p>
    <w:p w14:paraId="3E7570D8" w14:textId="77777777" w:rsidR="00767F2F" w:rsidRDefault="00000000">
      <w:pPr>
        <w:spacing w:line="276" w:lineRule="auto"/>
        <w:ind w:firstLine="1296"/>
        <w:jc w:val="both"/>
        <w:rPr>
          <w:rFonts w:eastAsia="Calibri"/>
          <w:spacing w:val="6"/>
          <w:szCs w:val="24"/>
        </w:rPr>
      </w:pPr>
      <w:r>
        <w:rPr>
          <w:rFonts w:eastAsia="Calibri"/>
          <w:spacing w:val="6"/>
          <w:szCs w:val="24"/>
        </w:rPr>
        <w:t xml:space="preserve">laikino atokvėpio paslaugai teikti ir administruoti </w:t>
      </w:r>
      <w:r>
        <w:rPr>
          <w:rFonts w:eastAsia="Calibri"/>
          <w:i/>
          <w:iCs/>
          <w:spacing w:val="6"/>
          <w:szCs w:val="24"/>
        </w:rPr>
        <w:t>mažėja</w:t>
      </w:r>
      <w:r>
        <w:rPr>
          <w:rFonts w:eastAsia="Calibri"/>
          <w:spacing w:val="6"/>
          <w:szCs w:val="24"/>
        </w:rPr>
        <w:t xml:space="preserve"> 43,8 tūkst. Eur.</w:t>
      </w:r>
    </w:p>
    <w:p w14:paraId="3A76D7E6" w14:textId="77777777" w:rsidR="00767F2F" w:rsidRDefault="00000000">
      <w:pPr>
        <w:spacing w:line="276" w:lineRule="auto"/>
        <w:jc w:val="both"/>
      </w:pPr>
      <w:r>
        <w:rPr>
          <w:rFonts w:eastAsia="Calibri"/>
          <w:spacing w:val="6"/>
          <w:szCs w:val="24"/>
        </w:rPr>
        <w:t>Paslaugoms skirta lėšų suma mažinama atsižvelgus į faktinį socialinių paslaugų poreikį ir gavėjų skaičių.</w:t>
      </w:r>
    </w:p>
    <w:p w14:paraId="7C456CB1" w14:textId="77777777" w:rsidR="00767F2F" w:rsidRDefault="00000000">
      <w:pPr>
        <w:spacing w:line="276" w:lineRule="auto"/>
        <w:ind w:firstLine="1296"/>
        <w:jc w:val="both"/>
        <w:rPr>
          <w:rFonts w:eastAsia="Calibri"/>
          <w:spacing w:val="6"/>
          <w:szCs w:val="24"/>
        </w:rPr>
      </w:pPr>
      <w:r>
        <w:rPr>
          <w:rFonts w:eastAsia="Calibri"/>
          <w:spacing w:val="6"/>
          <w:szCs w:val="24"/>
        </w:rPr>
        <w:t xml:space="preserve">Optimizavus lėšų paskirstymą, savivaldybės biudžeto lėšų poreikis buvo subalansuotas vidaus ištekliais, t. y. </w:t>
      </w:r>
      <w:r>
        <w:rPr>
          <w:rFonts w:eastAsia="Calibri"/>
          <w:b/>
          <w:bCs/>
          <w:spacing w:val="6"/>
          <w:szCs w:val="24"/>
        </w:rPr>
        <w:t>120,7 tūkst. Eur</w:t>
      </w:r>
      <w:r>
        <w:rPr>
          <w:rFonts w:eastAsia="Calibri"/>
          <w:spacing w:val="6"/>
          <w:szCs w:val="24"/>
        </w:rPr>
        <w:t xml:space="preserve"> poreikis buvo padengtas perskirstant esamas biudžeto lėšas:</w:t>
      </w:r>
    </w:p>
    <w:p w14:paraId="0E67AFD9" w14:textId="77777777" w:rsidR="00767F2F" w:rsidRDefault="00000000">
      <w:pPr>
        <w:spacing w:line="276" w:lineRule="auto"/>
        <w:ind w:firstLine="1296"/>
        <w:jc w:val="both"/>
      </w:pPr>
      <w:r>
        <w:rPr>
          <w:rFonts w:eastAsia="Calibri"/>
          <w:spacing w:val="6"/>
          <w:szCs w:val="24"/>
        </w:rPr>
        <w:lastRenderedPageBreak/>
        <w:t>25,0 tūkst. Eur savivaldybės biudžeto lėšų, numatytų Kėdainių rajono savivaldybės daugiabučių namų patalpų pritaikymui minimaliems priedangų reikalavimams, perskirstoma: Lietuvos sporto universiteto Kėdainių „Aušros“ progimnazijai – 10,9 tūkst. Eur priedangoje esančių guminių takų utilizavimui, Kėdainių „Spindulio“ mokyklai – 10,3 tūkst. Eur priedangoje esančių daiktų išvežimui, Kėdainių šviesiajai gimnazijai – 3,8 tūkst. Eur langų apklijavimui apsaugine plėvele (19 stiklų).</w:t>
      </w:r>
    </w:p>
    <w:p w14:paraId="3AD1E0E3" w14:textId="77777777" w:rsidR="00767F2F" w:rsidRDefault="00000000">
      <w:pPr>
        <w:spacing w:line="276" w:lineRule="auto"/>
        <w:ind w:firstLine="1296"/>
        <w:jc w:val="both"/>
      </w:pPr>
      <w:r>
        <w:rPr>
          <w:rFonts w:eastAsia="Calibri"/>
          <w:spacing w:val="6"/>
          <w:szCs w:val="24"/>
        </w:rPr>
        <w:t>Įvertinus darbų įgyvendinimo spartą, 34,0 tūkst. Eur, skirtų Minareto ir jo prieigų tvarkybai, nukreipiami lankytinų objektų ir jų teritorijų, kultūros paveldo objektų bei kultūros paveldo teritorijų prieigose esančių objektų tvarkybos dokumentacijos rengimui ir objektų atnaujinimui.</w:t>
      </w:r>
    </w:p>
    <w:p w14:paraId="20AD4221" w14:textId="77777777" w:rsidR="00767F2F" w:rsidRDefault="00000000">
      <w:pPr>
        <w:spacing w:line="276" w:lineRule="auto"/>
        <w:ind w:firstLine="1296"/>
        <w:jc w:val="both"/>
        <w:rPr>
          <w:rFonts w:eastAsia="Calibri"/>
          <w:spacing w:val="6"/>
          <w:szCs w:val="24"/>
        </w:rPr>
      </w:pPr>
      <w:r>
        <w:rPr>
          <w:rFonts w:eastAsia="Calibri"/>
          <w:spacing w:val="6"/>
          <w:szCs w:val="24"/>
        </w:rPr>
        <w:t>Nuo 2026 metų sausio 1 d. Kėdainių rajono Surviliškio Vinco Svirskio pagrindinės mokyklos 10 klasė buvo finansuojama iš savivaldybės lėšų. Nuo 2026 metų rugsėjo 1 d. reorganizavus Kėdainių rajono Surviliškio Vinco Svirskio pagrindinę mokyklą, nebeliko iš savivaldybės lėšų finansuojamos klasės. Šiai įstaigai sumažinti asignavimai 26,2 tūkst. Eur.</w:t>
      </w:r>
    </w:p>
    <w:p w14:paraId="31CEA16A" w14:textId="77777777" w:rsidR="00767F2F" w:rsidRDefault="00000000">
      <w:pPr>
        <w:spacing w:line="276" w:lineRule="auto"/>
        <w:ind w:firstLine="1296"/>
        <w:jc w:val="both"/>
      </w:pPr>
      <w:r>
        <w:rPr>
          <w:rFonts w:eastAsia="Calibri"/>
          <w:spacing w:val="6"/>
          <w:szCs w:val="24"/>
        </w:rPr>
        <w:t>2026 m. rugsėjo 1 d. III ir IV gimnazijos klasėse esant mažiau kaip 21 mokiniui (bet ne mažiau kaip 12 mokinių), savivaldybės mokyklos savininko teises ir pareigas įgyvendinanti institucija mokyklai papildomai skiria tiek mokymo lėšų (išskyrus mokymo lėšas, skiriamas iš Lietuvos Respublikos valstybės biudžeto), kiek sudaro 50 procentų lėšų ugdymo planui įgyvendinti, apskaičiuojamų III ir IV gimnazijos klasėms pagal Mokymo lėšų apskaičiavimo, paskirstymo ir panaudojimo tvarkos aprašą, patvirtintą Lietuvos Respublikos Vyriausybės 2018 m. liepos 11 d. nutarimu Nr. 679 „Dėl Mokymo lėšų apskaičiavimo, paskirstymo ir panaudojimo tvarkos aprašo patvirtinimo“. Nuo 2026 metų rugsėjo 1 d. Kėdainių r. Krakių Mikalojaus Katkaus ir Kėdainių r. Šėtos gimnazijų III  gimnazijos klasėms iš savivaldybės biudžeto skiriama po 13,1 tūkst. Eur.</w:t>
      </w:r>
    </w:p>
    <w:p w14:paraId="5F13268A" w14:textId="77777777" w:rsidR="00767F2F" w:rsidRDefault="00000000">
      <w:pPr>
        <w:spacing w:line="276" w:lineRule="auto"/>
        <w:ind w:firstLine="1296"/>
        <w:jc w:val="both"/>
        <w:rPr>
          <w:rFonts w:eastAsia="Calibri"/>
          <w:spacing w:val="6"/>
          <w:szCs w:val="24"/>
        </w:rPr>
      </w:pPr>
      <w:r>
        <w:rPr>
          <w:rFonts w:eastAsia="Calibri"/>
          <w:spacing w:val="6"/>
          <w:szCs w:val="24"/>
        </w:rPr>
        <w:t>Kėdainių sporto centrui nuo rugsėjo 1 dienos neskiriamos mokymo lėšos, nes formalųjį švietimą papildančio ugdymo programas gali vykdyti teisės aktais nustatyta tvarka tik mokyklos, todėl perskirstoma 35,5 tūkst. Eur lėšos tarp finansavimo šaltinių ir Kėdainių dailės, Kėdainių muzikos mokyklų ir Kėdainių sporto centro.</w:t>
      </w:r>
    </w:p>
    <w:p w14:paraId="7CBA5D76" w14:textId="77777777" w:rsidR="00767F2F" w:rsidRDefault="00000000">
      <w:pPr>
        <w:spacing w:line="276" w:lineRule="auto"/>
        <w:ind w:firstLine="1296"/>
        <w:jc w:val="both"/>
        <w:rPr>
          <w:i/>
          <w:szCs w:val="24"/>
          <w:u w:val="single"/>
          <w:lang w:eastAsia="lt-LT"/>
        </w:rPr>
      </w:pPr>
      <w:r>
        <w:rPr>
          <w:b/>
          <w:szCs w:val="24"/>
          <w:lang w:eastAsia="lt-LT"/>
        </w:rPr>
        <w:t>Lėšų poreikis (jeigu sprendimui įgyvendinti reikalingos lėšos):</w:t>
      </w:r>
      <w:r>
        <w:rPr>
          <w:szCs w:val="24"/>
          <w:lang w:eastAsia="lt-LT"/>
        </w:rPr>
        <w:t xml:space="preserve"> </w:t>
      </w:r>
      <w:r>
        <w:rPr>
          <w:spacing w:val="6"/>
          <w:szCs w:val="24"/>
          <w:lang w:eastAsia="lt-LT"/>
        </w:rPr>
        <w:t>Nėra.</w:t>
      </w:r>
    </w:p>
    <w:p w14:paraId="14A07633" w14:textId="77777777" w:rsidR="00767F2F" w:rsidRDefault="00000000">
      <w:pPr>
        <w:spacing w:line="276" w:lineRule="auto"/>
        <w:ind w:firstLine="1296"/>
        <w:jc w:val="both"/>
        <w:rPr>
          <w:bCs/>
          <w:szCs w:val="24"/>
          <w:lang w:eastAsia="lt-LT"/>
        </w:rPr>
      </w:pPr>
      <w:r>
        <w:rPr>
          <w:b/>
          <w:szCs w:val="24"/>
          <w:lang w:eastAsia="lt-LT"/>
        </w:rPr>
        <w:t xml:space="preserve">Laukiami rezultatai: </w:t>
      </w:r>
      <w:r>
        <w:rPr>
          <w:bCs/>
          <w:szCs w:val="24"/>
          <w:lang w:eastAsia="lt-LT"/>
        </w:rPr>
        <w:t>Tinkamas tikslinės paskirties lėšų paskirstymas ir panaudojimas.</w:t>
      </w:r>
    </w:p>
    <w:p w14:paraId="6AE33F97" w14:textId="77777777" w:rsidR="00767F2F" w:rsidRDefault="00000000">
      <w:pPr>
        <w:spacing w:line="276" w:lineRule="auto"/>
        <w:ind w:firstLine="1296"/>
        <w:jc w:val="both"/>
      </w:pPr>
      <w:r>
        <w:rPr>
          <w:b/>
          <w:bCs/>
          <w:szCs w:val="24"/>
          <w:lang w:eastAsia="lt-LT"/>
        </w:rPr>
        <w:t>Numatomo teisinio regul</w:t>
      </w:r>
      <w:r>
        <w:t>iavimo poveikio vertinimas*</w:t>
      </w:r>
    </w:p>
    <w:tbl>
      <w:tblPr>
        <w:tblW w:w="8930" w:type="dxa"/>
        <w:tblInd w:w="279" w:type="dxa"/>
        <w:tblLayout w:type="fixed"/>
        <w:tblLook w:val="0000" w:firstRow="0" w:lastRow="0" w:firstColumn="0" w:lastColumn="0" w:noHBand="0" w:noVBand="0"/>
      </w:tblPr>
      <w:tblGrid>
        <w:gridCol w:w="3118"/>
        <w:gridCol w:w="2977"/>
        <w:gridCol w:w="2835"/>
      </w:tblGrid>
      <w:tr w:rsidR="00767F2F" w14:paraId="23CEEB51" w14:textId="77777777">
        <w:trPr>
          <w:trHeight w:val="285"/>
        </w:trPr>
        <w:tc>
          <w:tcPr>
            <w:tcW w:w="3118" w:type="dxa"/>
            <w:vMerge w:val="restart"/>
            <w:tcBorders>
              <w:top w:val="single" w:sz="4" w:space="0" w:color="000000"/>
              <w:left w:val="single" w:sz="4" w:space="0" w:color="000000"/>
              <w:bottom w:val="single" w:sz="4" w:space="0" w:color="000000"/>
              <w:right w:val="single" w:sz="4" w:space="0" w:color="000000"/>
            </w:tcBorders>
          </w:tcPr>
          <w:p w14:paraId="2B0B857C" w14:textId="77777777" w:rsidR="00767F2F" w:rsidRDefault="00000000">
            <w:pPr>
              <w:rPr>
                <w:b/>
                <w:szCs w:val="24"/>
                <w:lang w:bidi="lo-LA"/>
              </w:rPr>
            </w:pPr>
            <w:r>
              <w:rPr>
                <w:b/>
                <w:szCs w:val="24"/>
                <w:lang w:eastAsia="lt-LT"/>
              </w:rPr>
              <w:t>Sritys</w:t>
            </w:r>
          </w:p>
        </w:tc>
        <w:tc>
          <w:tcPr>
            <w:tcW w:w="5812" w:type="dxa"/>
            <w:gridSpan w:val="2"/>
            <w:tcBorders>
              <w:top w:val="single" w:sz="4" w:space="0" w:color="000000"/>
              <w:left w:val="single" w:sz="4" w:space="0" w:color="000000"/>
              <w:bottom w:val="single" w:sz="4" w:space="0" w:color="000000"/>
              <w:right w:val="single" w:sz="4" w:space="0" w:color="000000"/>
            </w:tcBorders>
          </w:tcPr>
          <w:p w14:paraId="740CA2D0" w14:textId="77777777" w:rsidR="00767F2F" w:rsidRDefault="00000000">
            <w:pPr>
              <w:rPr>
                <w:b/>
                <w:bCs/>
                <w:szCs w:val="24"/>
                <w:lang w:eastAsia="lt-LT"/>
              </w:rPr>
            </w:pPr>
            <w:r>
              <w:rPr>
                <w:b/>
                <w:bCs/>
                <w:szCs w:val="24"/>
                <w:lang w:eastAsia="lt-LT"/>
              </w:rPr>
              <w:t>Numatomo teisinio reguliavimo poveikio vertinimo rezultatai</w:t>
            </w:r>
          </w:p>
        </w:tc>
      </w:tr>
      <w:tr w:rsidR="00767F2F" w14:paraId="73B7A838" w14:textId="77777777">
        <w:trPr>
          <w:trHeight w:val="223"/>
        </w:trPr>
        <w:tc>
          <w:tcPr>
            <w:tcW w:w="3118" w:type="dxa"/>
            <w:vMerge/>
            <w:tcBorders>
              <w:top w:val="single" w:sz="4" w:space="0" w:color="000000"/>
              <w:left w:val="single" w:sz="4" w:space="0" w:color="000000"/>
              <w:bottom w:val="single" w:sz="4" w:space="0" w:color="000000"/>
              <w:right w:val="single" w:sz="4" w:space="0" w:color="000000"/>
            </w:tcBorders>
          </w:tcPr>
          <w:p w14:paraId="54264FAD" w14:textId="77777777" w:rsidR="00767F2F" w:rsidRDefault="00767F2F">
            <w:pPr>
              <w:snapToGrid w:val="0"/>
              <w:rPr>
                <w:b/>
                <w:bCs/>
                <w:szCs w:val="24"/>
                <w:lang w:eastAsia="lt-LT" w:bidi="lo-LA"/>
              </w:rPr>
            </w:pPr>
          </w:p>
        </w:tc>
        <w:tc>
          <w:tcPr>
            <w:tcW w:w="2977" w:type="dxa"/>
            <w:tcBorders>
              <w:top w:val="single" w:sz="4" w:space="0" w:color="000000"/>
              <w:left w:val="single" w:sz="4" w:space="0" w:color="000000"/>
              <w:bottom w:val="single" w:sz="4" w:space="0" w:color="000000"/>
              <w:right w:val="single" w:sz="4" w:space="0" w:color="000000"/>
            </w:tcBorders>
          </w:tcPr>
          <w:p w14:paraId="5CCB841A" w14:textId="77777777" w:rsidR="00767F2F" w:rsidRDefault="00000000">
            <w:pPr>
              <w:rPr>
                <w:b/>
                <w:szCs w:val="24"/>
                <w:lang w:eastAsia="lt-LT"/>
              </w:rPr>
            </w:pPr>
            <w:r>
              <w:rPr>
                <w:b/>
                <w:szCs w:val="24"/>
                <w:lang w:eastAsia="lt-LT"/>
              </w:rPr>
              <w:t>Teigiamas poveikis</w:t>
            </w:r>
          </w:p>
        </w:tc>
        <w:tc>
          <w:tcPr>
            <w:tcW w:w="2835" w:type="dxa"/>
            <w:tcBorders>
              <w:top w:val="single" w:sz="4" w:space="0" w:color="000000"/>
              <w:left w:val="single" w:sz="4" w:space="0" w:color="000000"/>
              <w:bottom w:val="single" w:sz="4" w:space="0" w:color="000000"/>
              <w:right w:val="single" w:sz="4" w:space="0" w:color="000000"/>
            </w:tcBorders>
          </w:tcPr>
          <w:p w14:paraId="0697B4A3" w14:textId="77777777" w:rsidR="00767F2F" w:rsidRDefault="00000000">
            <w:pPr>
              <w:rPr>
                <w:rFonts w:eastAsia="Calibri"/>
                <w:b/>
                <w:szCs w:val="24"/>
                <w:lang w:bidi="lo-LA"/>
              </w:rPr>
            </w:pPr>
            <w:r>
              <w:rPr>
                <w:b/>
                <w:szCs w:val="24"/>
                <w:lang w:eastAsia="lt-LT"/>
              </w:rPr>
              <w:t>Neigiamas poveikis</w:t>
            </w:r>
          </w:p>
          <w:p w14:paraId="04F986DE" w14:textId="77777777" w:rsidR="00767F2F" w:rsidRDefault="00767F2F">
            <w:pPr>
              <w:rPr>
                <w:rFonts w:eastAsia="Calibri"/>
                <w:b/>
                <w:i/>
                <w:szCs w:val="24"/>
                <w:lang w:eastAsia="lt-LT" w:bidi="lo-LA"/>
              </w:rPr>
            </w:pPr>
          </w:p>
        </w:tc>
      </w:tr>
      <w:tr w:rsidR="00767F2F" w14:paraId="673E30EF" w14:textId="77777777">
        <w:tc>
          <w:tcPr>
            <w:tcW w:w="3118" w:type="dxa"/>
            <w:tcBorders>
              <w:top w:val="single" w:sz="4" w:space="0" w:color="000000"/>
              <w:left w:val="single" w:sz="4" w:space="0" w:color="000000"/>
              <w:bottom w:val="single" w:sz="4" w:space="0" w:color="000000"/>
              <w:right w:val="single" w:sz="4" w:space="0" w:color="000000"/>
            </w:tcBorders>
          </w:tcPr>
          <w:p w14:paraId="67BD67AC" w14:textId="77777777" w:rsidR="00767F2F" w:rsidRDefault="00000000">
            <w:pPr>
              <w:rPr>
                <w:i/>
                <w:szCs w:val="24"/>
                <w:lang w:bidi="lo-LA"/>
              </w:rPr>
            </w:pPr>
            <w:r>
              <w:rPr>
                <w:i/>
                <w:szCs w:val="24"/>
                <w:lang w:eastAsia="lt-LT"/>
              </w:rPr>
              <w:t>Ekonomikai</w:t>
            </w:r>
          </w:p>
        </w:tc>
        <w:tc>
          <w:tcPr>
            <w:tcW w:w="2977" w:type="dxa"/>
            <w:tcBorders>
              <w:top w:val="single" w:sz="4" w:space="0" w:color="000000"/>
              <w:left w:val="single" w:sz="4" w:space="0" w:color="000000"/>
              <w:bottom w:val="single" w:sz="4" w:space="0" w:color="000000"/>
              <w:right w:val="single" w:sz="4" w:space="0" w:color="000000"/>
            </w:tcBorders>
          </w:tcPr>
          <w:p w14:paraId="683F3116" w14:textId="77777777" w:rsidR="00767F2F" w:rsidRDefault="00767F2F">
            <w:pPr>
              <w:snapToGrid w:val="0"/>
              <w:rPr>
                <w:i/>
                <w:szCs w:val="24"/>
                <w:lang w:bidi="lo-LA"/>
              </w:rPr>
            </w:pPr>
          </w:p>
        </w:tc>
        <w:tc>
          <w:tcPr>
            <w:tcW w:w="2835" w:type="dxa"/>
            <w:tcBorders>
              <w:top w:val="single" w:sz="4" w:space="0" w:color="000000"/>
              <w:left w:val="single" w:sz="4" w:space="0" w:color="000000"/>
              <w:bottom w:val="single" w:sz="4" w:space="0" w:color="000000"/>
              <w:right w:val="single" w:sz="4" w:space="0" w:color="000000"/>
            </w:tcBorders>
          </w:tcPr>
          <w:p w14:paraId="5B4AFFA5" w14:textId="77777777" w:rsidR="00767F2F" w:rsidRDefault="00767F2F">
            <w:pPr>
              <w:snapToGrid w:val="0"/>
              <w:rPr>
                <w:i/>
                <w:szCs w:val="24"/>
                <w:lang w:bidi="lo-LA"/>
              </w:rPr>
            </w:pPr>
          </w:p>
        </w:tc>
      </w:tr>
      <w:tr w:rsidR="00767F2F" w14:paraId="6A27E133" w14:textId="77777777">
        <w:tc>
          <w:tcPr>
            <w:tcW w:w="3118" w:type="dxa"/>
            <w:tcBorders>
              <w:top w:val="single" w:sz="4" w:space="0" w:color="000000"/>
              <w:left w:val="single" w:sz="4" w:space="0" w:color="000000"/>
              <w:bottom w:val="single" w:sz="4" w:space="0" w:color="000000"/>
              <w:right w:val="single" w:sz="4" w:space="0" w:color="000000"/>
            </w:tcBorders>
          </w:tcPr>
          <w:p w14:paraId="57E8326A" w14:textId="77777777" w:rsidR="00767F2F" w:rsidRDefault="00000000">
            <w:pPr>
              <w:rPr>
                <w:i/>
                <w:szCs w:val="24"/>
                <w:lang w:bidi="lo-LA"/>
              </w:rPr>
            </w:pPr>
            <w:r>
              <w:rPr>
                <w:i/>
                <w:szCs w:val="24"/>
                <w:lang w:eastAsia="lt-LT"/>
              </w:rPr>
              <w:t>Finansams</w:t>
            </w:r>
          </w:p>
        </w:tc>
        <w:tc>
          <w:tcPr>
            <w:tcW w:w="2977" w:type="dxa"/>
            <w:tcBorders>
              <w:top w:val="single" w:sz="4" w:space="0" w:color="000000"/>
              <w:left w:val="single" w:sz="4" w:space="0" w:color="000000"/>
              <w:bottom w:val="single" w:sz="4" w:space="0" w:color="000000"/>
              <w:right w:val="single" w:sz="4" w:space="0" w:color="000000"/>
            </w:tcBorders>
          </w:tcPr>
          <w:p w14:paraId="01E2F470" w14:textId="77777777" w:rsidR="00767F2F" w:rsidRDefault="00000000">
            <w:pPr>
              <w:rPr>
                <w:i/>
                <w:szCs w:val="24"/>
                <w:lang w:bidi="lo-LA"/>
              </w:rPr>
            </w:pPr>
            <w:r>
              <w:rPr>
                <w:i/>
                <w:szCs w:val="24"/>
                <w:lang w:bidi="lo-LA"/>
              </w:rPr>
              <w:t>Pajamos didėja 517,8 tūkst. Eur</w:t>
            </w:r>
          </w:p>
        </w:tc>
        <w:tc>
          <w:tcPr>
            <w:tcW w:w="2835" w:type="dxa"/>
            <w:tcBorders>
              <w:top w:val="single" w:sz="4" w:space="0" w:color="000000"/>
              <w:left w:val="single" w:sz="4" w:space="0" w:color="000000"/>
              <w:bottom w:val="single" w:sz="4" w:space="0" w:color="000000"/>
              <w:right w:val="single" w:sz="4" w:space="0" w:color="000000"/>
            </w:tcBorders>
          </w:tcPr>
          <w:p w14:paraId="7AC81DB0" w14:textId="77777777" w:rsidR="00767F2F" w:rsidRDefault="00767F2F">
            <w:pPr>
              <w:snapToGrid w:val="0"/>
              <w:rPr>
                <w:i/>
                <w:szCs w:val="24"/>
                <w:lang w:bidi="lo-LA"/>
              </w:rPr>
            </w:pPr>
          </w:p>
        </w:tc>
      </w:tr>
      <w:tr w:rsidR="00767F2F" w14:paraId="2622223A" w14:textId="77777777">
        <w:tc>
          <w:tcPr>
            <w:tcW w:w="3118" w:type="dxa"/>
            <w:tcBorders>
              <w:top w:val="single" w:sz="4" w:space="0" w:color="000000"/>
              <w:left w:val="single" w:sz="4" w:space="0" w:color="000000"/>
              <w:bottom w:val="single" w:sz="4" w:space="0" w:color="000000"/>
              <w:right w:val="single" w:sz="4" w:space="0" w:color="000000"/>
            </w:tcBorders>
          </w:tcPr>
          <w:p w14:paraId="16F74077" w14:textId="77777777" w:rsidR="00767F2F" w:rsidRDefault="00000000">
            <w:pPr>
              <w:rPr>
                <w:i/>
                <w:szCs w:val="24"/>
                <w:lang w:bidi="lo-LA"/>
              </w:rPr>
            </w:pPr>
            <w:r>
              <w:rPr>
                <w:i/>
                <w:szCs w:val="24"/>
                <w:lang w:eastAsia="lt-LT"/>
              </w:rPr>
              <w:t>Socialinei aplinkai</w:t>
            </w:r>
          </w:p>
        </w:tc>
        <w:tc>
          <w:tcPr>
            <w:tcW w:w="2977" w:type="dxa"/>
            <w:tcBorders>
              <w:top w:val="single" w:sz="4" w:space="0" w:color="000000"/>
              <w:left w:val="single" w:sz="4" w:space="0" w:color="000000"/>
              <w:bottom w:val="single" w:sz="4" w:space="0" w:color="000000"/>
              <w:right w:val="single" w:sz="4" w:space="0" w:color="000000"/>
            </w:tcBorders>
          </w:tcPr>
          <w:p w14:paraId="2670CE07" w14:textId="77777777" w:rsidR="00767F2F" w:rsidRDefault="00767F2F">
            <w:pPr>
              <w:snapToGrid w:val="0"/>
              <w:rPr>
                <w:i/>
                <w:szCs w:val="24"/>
                <w:lang w:bidi="lo-LA"/>
              </w:rPr>
            </w:pPr>
          </w:p>
        </w:tc>
        <w:tc>
          <w:tcPr>
            <w:tcW w:w="2835" w:type="dxa"/>
            <w:tcBorders>
              <w:top w:val="single" w:sz="4" w:space="0" w:color="000000"/>
              <w:left w:val="single" w:sz="4" w:space="0" w:color="000000"/>
              <w:bottom w:val="single" w:sz="4" w:space="0" w:color="000000"/>
              <w:right w:val="single" w:sz="4" w:space="0" w:color="000000"/>
            </w:tcBorders>
          </w:tcPr>
          <w:p w14:paraId="509CB03E" w14:textId="77777777" w:rsidR="00767F2F" w:rsidRDefault="00767F2F">
            <w:pPr>
              <w:snapToGrid w:val="0"/>
              <w:rPr>
                <w:i/>
                <w:szCs w:val="24"/>
                <w:lang w:bidi="lo-LA"/>
              </w:rPr>
            </w:pPr>
          </w:p>
        </w:tc>
      </w:tr>
      <w:tr w:rsidR="00767F2F" w14:paraId="34B3FCE4" w14:textId="77777777">
        <w:tc>
          <w:tcPr>
            <w:tcW w:w="3118" w:type="dxa"/>
            <w:tcBorders>
              <w:top w:val="single" w:sz="4" w:space="0" w:color="000000"/>
              <w:left w:val="single" w:sz="4" w:space="0" w:color="000000"/>
              <w:bottom w:val="single" w:sz="4" w:space="0" w:color="000000"/>
              <w:right w:val="single" w:sz="4" w:space="0" w:color="000000"/>
            </w:tcBorders>
          </w:tcPr>
          <w:p w14:paraId="0687CD89" w14:textId="77777777" w:rsidR="00767F2F" w:rsidRDefault="00000000">
            <w:pPr>
              <w:rPr>
                <w:i/>
                <w:szCs w:val="24"/>
                <w:lang w:bidi="lo-LA"/>
              </w:rPr>
            </w:pPr>
            <w:r>
              <w:rPr>
                <w:i/>
                <w:szCs w:val="24"/>
                <w:lang w:eastAsia="lt-LT"/>
              </w:rPr>
              <w:t>Viešajam administravimui</w:t>
            </w:r>
          </w:p>
        </w:tc>
        <w:tc>
          <w:tcPr>
            <w:tcW w:w="2977" w:type="dxa"/>
            <w:tcBorders>
              <w:top w:val="single" w:sz="4" w:space="0" w:color="000000"/>
              <w:left w:val="single" w:sz="4" w:space="0" w:color="000000"/>
              <w:bottom w:val="single" w:sz="4" w:space="0" w:color="000000"/>
              <w:right w:val="single" w:sz="4" w:space="0" w:color="000000"/>
            </w:tcBorders>
          </w:tcPr>
          <w:p w14:paraId="22E4B8AB" w14:textId="77777777" w:rsidR="00767F2F" w:rsidRDefault="00767F2F">
            <w:pPr>
              <w:snapToGrid w:val="0"/>
              <w:rPr>
                <w:i/>
                <w:szCs w:val="24"/>
                <w:lang w:bidi="lo-LA"/>
              </w:rPr>
            </w:pPr>
          </w:p>
        </w:tc>
        <w:tc>
          <w:tcPr>
            <w:tcW w:w="2835" w:type="dxa"/>
            <w:tcBorders>
              <w:top w:val="single" w:sz="4" w:space="0" w:color="000000"/>
              <w:left w:val="single" w:sz="4" w:space="0" w:color="000000"/>
              <w:bottom w:val="single" w:sz="4" w:space="0" w:color="000000"/>
              <w:right w:val="single" w:sz="4" w:space="0" w:color="000000"/>
            </w:tcBorders>
          </w:tcPr>
          <w:p w14:paraId="3B8D3EEE" w14:textId="77777777" w:rsidR="00767F2F" w:rsidRDefault="00767F2F">
            <w:pPr>
              <w:snapToGrid w:val="0"/>
              <w:rPr>
                <w:i/>
                <w:szCs w:val="24"/>
                <w:lang w:bidi="lo-LA"/>
              </w:rPr>
            </w:pPr>
          </w:p>
        </w:tc>
      </w:tr>
      <w:tr w:rsidR="00767F2F" w14:paraId="1D24DB41" w14:textId="77777777">
        <w:tc>
          <w:tcPr>
            <w:tcW w:w="3118" w:type="dxa"/>
            <w:tcBorders>
              <w:top w:val="single" w:sz="4" w:space="0" w:color="000000"/>
              <w:left w:val="single" w:sz="4" w:space="0" w:color="000000"/>
              <w:bottom w:val="single" w:sz="4" w:space="0" w:color="000000"/>
              <w:right w:val="single" w:sz="4" w:space="0" w:color="000000"/>
            </w:tcBorders>
          </w:tcPr>
          <w:p w14:paraId="77F974CA" w14:textId="77777777" w:rsidR="00767F2F" w:rsidRDefault="00000000">
            <w:pPr>
              <w:rPr>
                <w:i/>
                <w:szCs w:val="24"/>
                <w:lang w:bidi="lo-LA"/>
              </w:rPr>
            </w:pPr>
            <w:r>
              <w:rPr>
                <w:i/>
                <w:szCs w:val="24"/>
                <w:lang w:eastAsia="lt-LT"/>
              </w:rPr>
              <w:t>Teisinei sistemai</w:t>
            </w:r>
          </w:p>
        </w:tc>
        <w:tc>
          <w:tcPr>
            <w:tcW w:w="2977" w:type="dxa"/>
            <w:tcBorders>
              <w:top w:val="single" w:sz="4" w:space="0" w:color="000000"/>
              <w:left w:val="single" w:sz="4" w:space="0" w:color="000000"/>
              <w:bottom w:val="single" w:sz="4" w:space="0" w:color="000000"/>
              <w:right w:val="single" w:sz="4" w:space="0" w:color="000000"/>
            </w:tcBorders>
          </w:tcPr>
          <w:p w14:paraId="380271E7" w14:textId="77777777" w:rsidR="00767F2F" w:rsidRDefault="00767F2F">
            <w:pPr>
              <w:snapToGrid w:val="0"/>
              <w:rPr>
                <w:i/>
                <w:szCs w:val="24"/>
                <w:lang w:bidi="lo-LA"/>
              </w:rPr>
            </w:pPr>
          </w:p>
        </w:tc>
        <w:tc>
          <w:tcPr>
            <w:tcW w:w="2835" w:type="dxa"/>
            <w:tcBorders>
              <w:top w:val="single" w:sz="4" w:space="0" w:color="000000"/>
              <w:left w:val="single" w:sz="4" w:space="0" w:color="000000"/>
              <w:bottom w:val="single" w:sz="4" w:space="0" w:color="000000"/>
              <w:right w:val="single" w:sz="4" w:space="0" w:color="000000"/>
            </w:tcBorders>
          </w:tcPr>
          <w:p w14:paraId="50D882F5" w14:textId="77777777" w:rsidR="00767F2F" w:rsidRDefault="00767F2F">
            <w:pPr>
              <w:snapToGrid w:val="0"/>
              <w:rPr>
                <w:i/>
                <w:szCs w:val="24"/>
                <w:lang w:bidi="lo-LA"/>
              </w:rPr>
            </w:pPr>
          </w:p>
        </w:tc>
      </w:tr>
      <w:tr w:rsidR="00767F2F" w14:paraId="6B930ED9" w14:textId="77777777">
        <w:tc>
          <w:tcPr>
            <w:tcW w:w="3118" w:type="dxa"/>
            <w:tcBorders>
              <w:top w:val="single" w:sz="4" w:space="0" w:color="000000"/>
              <w:left w:val="single" w:sz="4" w:space="0" w:color="000000"/>
              <w:bottom w:val="single" w:sz="4" w:space="0" w:color="000000"/>
              <w:right w:val="single" w:sz="4" w:space="0" w:color="000000"/>
            </w:tcBorders>
          </w:tcPr>
          <w:p w14:paraId="29FC15D2" w14:textId="77777777" w:rsidR="00767F2F" w:rsidRDefault="00000000">
            <w:pPr>
              <w:rPr>
                <w:i/>
                <w:szCs w:val="24"/>
                <w:lang w:bidi="lo-LA"/>
              </w:rPr>
            </w:pPr>
            <w:r>
              <w:rPr>
                <w:i/>
                <w:szCs w:val="24"/>
                <w:lang w:eastAsia="lt-LT"/>
              </w:rPr>
              <w:t>Kriminogeninei situacijai</w:t>
            </w:r>
          </w:p>
        </w:tc>
        <w:tc>
          <w:tcPr>
            <w:tcW w:w="2977" w:type="dxa"/>
            <w:tcBorders>
              <w:top w:val="single" w:sz="4" w:space="0" w:color="000000"/>
              <w:left w:val="single" w:sz="4" w:space="0" w:color="000000"/>
              <w:bottom w:val="single" w:sz="4" w:space="0" w:color="000000"/>
              <w:right w:val="single" w:sz="4" w:space="0" w:color="000000"/>
            </w:tcBorders>
          </w:tcPr>
          <w:p w14:paraId="46DDDE86" w14:textId="77777777" w:rsidR="00767F2F" w:rsidRDefault="00767F2F">
            <w:pPr>
              <w:snapToGrid w:val="0"/>
              <w:rPr>
                <w:i/>
                <w:szCs w:val="24"/>
                <w:lang w:bidi="lo-LA"/>
              </w:rPr>
            </w:pPr>
          </w:p>
        </w:tc>
        <w:tc>
          <w:tcPr>
            <w:tcW w:w="2835" w:type="dxa"/>
            <w:tcBorders>
              <w:top w:val="single" w:sz="4" w:space="0" w:color="000000"/>
              <w:left w:val="single" w:sz="4" w:space="0" w:color="000000"/>
              <w:bottom w:val="single" w:sz="4" w:space="0" w:color="000000"/>
              <w:right w:val="single" w:sz="4" w:space="0" w:color="000000"/>
            </w:tcBorders>
          </w:tcPr>
          <w:p w14:paraId="48AE8E39" w14:textId="77777777" w:rsidR="00767F2F" w:rsidRDefault="00767F2F">
            <w:pPr>
              <w:snapToGrid w:val="0"/>
              <w:rPr>
                <w:i/>
                <w:szCs w:val="24"/>
                <w:lang w:bidi="lo-LA"/>
              </w:rPr>
            </w:pPr>
          </w:p>
        </w:tc>
      </w:tr>
      <w:tr w:rsidR="00767F2F" w14:paraId="402B95E2" w14:textId="77777777">
        <w:tc>
          <w:tcPr>
            <w:tcW w:w="3118" w:type="dxa"/>
            <w:tcBorders>
              <w:top w:val="single" w:sz="4" w:space="0" w:color="000000"/>
              <w:left w:val="single" w:sz="4" w:space="0" w:color="000000"/>
              <w:bottom w:val="single" w:sz="4" w:space="0" w:color="000000"/>
              <w:right w:val="single" w:sz="4" w:space="0" w:color="000000"/>
            </w:tcBorders>
          </w:tcPr>
          <w:p w14:paraId="03AD9B7D" w14:textId="77777777" w:rsidR="00767F2F" w:rsidRDefault="00000000">
            <w:pPr>
              <w:rPr>
                <w:i/>
                <w:szCs w:val="24"/>
                <w:lang w:bidi="lo-LA"/>
              </w:rPr>
            </w:pPr>
            <w:r>
              <w:rPr>
                <w:i/>
                <w:szCs w:val="24"/>
                <w:lang w:eastAsia="lt-LT"/>
              </w:rPr>
              <w:t>Aplinkai</w:t>
            </w:r>
          </w:p>
        </w:tc>
        <w:tc>
          <w:tcPr>
            <w:tcW w:w="2977" w:type="dxa"/>
            <w:tcBorders>
              <w:top w:val="single" w:sz="4" w:space="0" w:color="000000"/>
              <w:left w:val="single" w:sz="4" w:space="0" w:color="000000"/>
              <w:bottom w:val="single" w:sz="4" w:space="0" w:color="000000"/>
              <w:right w:val="single" w:sz="4" w:space="0" w:color="000000"/>
            </w:tcBorders>
          </w:tcPr>
          <w:p w14:paraId="3632B93E" w14:textId="77777777" w:rsidR="00767F2F" w:rsidRDefault="00767F2F">
            <w:pPr>
              <w:snapToGrid w:val="0"/>
              <w:rPr>
                <w:i/>
                <w:szCs w:val="24"/>
                <w:lang w:bidi="lo-LA"/>
              </w:rPr>
            </w:pPr>
          </w:p>
        </w:tc>
        <w:tc>
          <w:tcPr>
            <w:tcW w:w="2835" w:type="dxa"/>
            <w:tcBorders>
              <w:top w:val="single" w:sz="4" w:space="0" w:color="000000"/>
              <w:left w:val="single" w:sz="4" w:space="0" w:color="000000"/>
              <w:bottom w:val="single" w:sz="4" w:space="0" w:color="000000"/>
              <w:right w:val="single" w:sz="4" w:space="0" w:color="000000"/>
            </w:tcBorders>
          </w:tcPr>
          <w:p w14:paraId="52F94727" w14:textId="77777777" w:rsidR="00767F2F" w:rsidRDefault="00767F2F">
            <w:pPr>
              <w:snapToGrid w:val="0"/>
              <w:rPr>
                <w:i/>
                <w:szCs w:val="24"/>
                <w:lang w:bidi="lo-LA"/>
              </w:rPr>
            </w:pPr>
          </w:p>
        </w:tc>
      </w:tr>
      <w:tr w:rsidR="00767F2F" w14:paraId="6CF879D6" w14:textId="77777777">
        <w:tc>
          <w:tcPr>
            <w:tcW w:w="3118" w:type="dxa"/>
            <w:tcBorders>
              <w:top w:val="single" w:sz="4" w:space="0" w:color="000000"/>
              <w:left w:val="single" w:sz="4" w:space="0" w:color="000000"/>
              <w:bottom w:val="single" w:sz="4" w:space="0" w:color="000000"/>
              <w:right w:val="single" w:sz="4" w:space="0" w:color="000000"/>
            </w:tcBorders>
          </w:tcPr>
          <w:p w14:paraId="6321DC76" w14:textId="77777777" w:rsidR="00767F2F" w:rsidRDefault="00000000">
            <w:pPr>
              <w:rPr>
                <w:i/>
                <w:szCs w:val="24"/>
                <w:lang w:bidi="lo-LA"/>
              </w:rPr>
            </w:pPr>
            <w:r>
              <w:rPr>
                <w:i/>
                <w:szCs w:val="24"/>
                <w:lang w:eastAsia="lt-LT"/>
              </w:rPr>
              <w:t>Administracinei naštai</w:t>
            </w:r>
          </w:p>
        </w:tc>
        <w:tc>
          <w:tcPr>
            <w:tcW w:w="2977" w:type="dxa"/>
            <w:tcBorders>
              <w:top w:val="single" w:sz="4" w:space="0" w:color="000000"/>
              <w:left w:val="single" w:sz="4" w:space="0" w:color="000000"/>
              <w:bottom w:val="single" w:sz="4" w:space="0" w:color="000000"/>
              <w:right w:val="single" w:sz="4" w:space="0" w:color="000000"/>
            </w:tcBorders>
          </w:tcPr>
          <w:p w14:paraId="25138125" w14:textId="77777777" w:rsidR="00767F2F" w:rsidRDefault="00767F2F">
            <w:pPr>
              <w:snapToGrid w:val="0"/>
              <w:rPr>
                <w:i/>
                <w:szCs w:val="24"/>
                <w:lang w:bidi="lo-LA"/>
              </w:rPr>
            </w:pPr>
          </w:p>
        </w:tc>
        <w:tc>
          <w:tcPr>
            <w:tcW w:w="2835" w:type="dxa"/>
            <w:tcBorders>
              <w:top w:val="single" w:sz="4" w:space="0" w:color="000000"/>
              <w:left w:val="single" w:sz="4" w:space="0" w:color="000000"/>
              <w:bottom w:val="single" w:sz="4" w:space="0" w:color="000000"/>
              <w:right w:val="single" w:sz="4" w:space="0" w:color="000000"/>
            </w:tcBorders>
          </w:tcPr>
          <w:p w14:paraId="784E3FF4" w14:textId="77777777" w:rsidR="00767F2F" w:rsidRDefault="00767F2F">
            <w:pPr>
              <w:snapToGrid w:val="0"/>
              <w:rPr>
                <w:i/>
                <w:szCs w:val="24"/>
                <w:lang w:bidi="lo-LA"/>
              </w:rPr>
            </w:pPr>
          </w:p>
        </w:tc>
      </w:tr>
      <w:tr w:rsidR="00767F2F" w14:paraId="389CD1CE" w14:textId="77777777">
        <w:tc>
          <w:tcPr>
            <w:tcW w:w="3118" w:type="dxa"/>
            <w:tcBorders>
              <w:top w:val="single" w:sz="4" w:space="0" w:color="000000"/>
              <w:left w:val="single" w:sz="4" w:space="0" w:color="000000"/>
              <w:bottom w:val="single" w:sz="4" w:space="0" w:color="000000"/>
              <w:right w:val="single" w:sz="4" w:space="0" w:color="000000"/>
            </w:tcBorders>
          </w:tcPr>
          <w:p w14:paraId="1366ECDF" w14:textId="77777777" w:rsidR="00767F2F" w:rsidRDefault="00000000">
            <w:pPr>
              <w:rPr>
                <w:i/>
                <w:szCs w:val="24"/>
                <w:lang w:bidi="lo-LA"/>
              </w:rPr>
            </w:pPr>
            <w:r>
              <w:rPr>
                <w:i/>
                <w:szCs w:val="24"/>
                <w:lang w:eastAsia="lt-LT"/>
              </w:rPr>
              <w:t>Regiono plėtrai</w:t>
            </w:r>
          </w:p>
        </w:tc>
        <w:tc>
          <w:tcPr>
            <w:tcW w:w="2977" w:type="dxa"/>
            <w:tcBorders>
              <w:top w:val="single" w:sz="4" w:space="0" w:color="000000"/>
              <w:left w:val="single" w:sz="4" w:space="0" w:color="000000"/>
              <w:bottom w:val="single" w:sz="4" w:space="0" w:color="000000"/>
              <w:right w:val="single" w:sz="4" w:space="0" w:color="000000"/>
            </w:tcBorders>
          </w:tcPr>
          <w:p w14:paraId="6E99F0AA" w14:textId="77777777" w:rsidR="00767F2F" w:rsidRDefault="00767F2F">
            <w:pPr>
              <w:snapToGrid w:val="0"/>
              <w:rPr>
                <w:i/>
                <w:szCs w:val="24"/>
                <w:lang w:bidi="lo-LA"/>
              </w:rPr>
            </w:pPr>
          </w:p>
        </w:tc>
        <w:tc>
          <w:tcPr>
            <w:tcW w:w="2835" w:type="dxa"/>
            <w:tcBorders>
              <w:top w:val="single" w:sz="4" w:space="0" w:color="000000"/>
              <w:left w:val="single" w:sz="4" w:space="0" w:color="000000"/>
              <w:bottom w:val="single" w:sz="4" w:space="0" w:color="000000"/>
              <w:right w:val="single" w:sz="4" w:space="0" w:color="000000"/>
            </w:tcBorders>
          </w:tcPr>
          <w:p w14:paraId="22B298CE" w14:textId="77777777" w:rsidR="00767F2F" w:rsidRDefault="00767F2F">
            <w:pPr>
              <w:snapToGrid w:val="0"/>
              <w:rPr>
                <w:i/>
                <w:szCs w:val="24"/>
                <w:lang w:bidi="lo-LA"/>
              </w:rPr>
            </w:pPr>
          </w:p>
        </w:tc>
      </w:tr>
      <w:tr w:rsidR="00767F2F" w14:paraId="7692AAC7" w14:textId="77777777">
        <w:tc>
          <w:tcPr>
            <w:tcW w:w="3118" w:type="dxa"/>
            <w:tcBorders>
              <w:top w:val="single" w:sz="4" w:space="0" w:color="000000"/>
              <w:left w:val="single" w:sz="4" w:space="0" w:color="000000"/>
              <w:bottom w:val="single" w:sz="4" w:space="0" w:color="000000"/>
              <w:right w:val="single" w:sz="4" w:space="0" w:color="000000"/>
            </w:tcBorders>
          </w:tcPr>
          <w:p w14:paraId="7329A3CD" w14:textId="77777777" w:rsidR="00767F2F" w:rsidRDefault="00000000">
            <w:pPr>
              <w:rPr>
                <w:i/>
                <w:szCs w:val="24"/>
                <w:lang w:bidi="lo-LA"/>
              </w:rPr>
            </w:pPr>
            <w:r>
              <w:rPr>
                <w:i/>
                <w:szCs w:val="24"/>
                <w:lang w:eastAsia="lt-LT"/>
              </w:rPr>
              <w:t>Kitoms sritims, asmenims ar jų grupėms</w:t>
            </w:r>
          </w:p>
        </w:tc>
        <w:tc>
          <w:tcPr>
            <w:tcW w:w="2977" w:type="dxa"/>
            <w:tcBorders>
              <w:top w:val="single" w:sz="4" w:space="0" w:color="000000"/>
              <w:left w:val="single" w:sz="4" w:space="0" w:color="000000"/>
              <w:bottom w:val="single" w:sz="4" w:space="0" w:color="000000"/>
              <w:right w:val="single" w:sz="4" w:space="0" w:color="000000"/>
            </w:tcBorders>
          </w:tcPr>
          <w:p w14:paraId="1F7DD2C1" w14:textId="77777777" w:rsidR="00767F2F" w:rsidRDefault="00767F2F">
            <w:pPr>
              <w:snapToGrid w:val="0"/>
              <w:rPr>
                <w:i/>
                <w:szCs w:val="24"/>
                <w:lang w:bidi="lo-LA"/>
              </w:rPr>
            </w:pPr>
          </w:p>
        </w:tc>
        <w:tc>
          <w:tcPr>
            <w:tcW w:w="2835" w:type="dxa"/>
            <w:tcBorders>
              <w:top w:val="single" w:sz="4" w:space="0" w:color="000000"/>
              <w:left w:val="single" w:sz="4" w:space="0" w:color="000000"/>
              <w:bottom w:val="single" w:sz="4" w:space="0" w:color="000000"/>
              <w:right w:val="single" w:sz="4" w:space="0" w:color="000000"/>
            </w:tcBorders>
          </w:tcPr>
          <w:p w14:paraId="390B0384" w14:textId="77777777" w:rsidR="00767F2F" w:rsidRDefault="00767F2F">
            <w:pPr>
              <w:snapToGrid w:val="0"/>
              <w:rPr>
                <w:i/>
                <w:szCs w:val="24"/>
                <w:lang w:bidi="lo-LA"/>
              </w:rPr>
            </w:pPr>
          </w:p>
        </w:tc>
      </w:tr>
    </w:tbl>
    <w:p w14:paraId="73AE8D99" w14:textId="77777777" w:rsidR="00767F2F" w:rsidRDefault="00000000">
      <w:pPr>
        <w:jc w:val="both"/>
      </w:pPr>
      <w:r>
        <w:rPr>
          <w:b/>
          <w:szCs w:val="24"/>
          <w:lang w:bidi="lo-LA"/>
        </w:rPr>
        <w:lastRenderedPageBreak/>
        <w:t>*</w:t>
      </w:r>
      <w:r>
        <w:rPr>
          <w:bCs/>
          <w:szCs w:val="24"/>
          <w:lang w:eastAsia="lt-LT"/>
        </w:rPr>
        <w:t xml:space="preserve"> Numatomo teisinio reguliavimo poveikio vertinimas atliekamas r</w:t>
      </w:r>
      <w:r>
        <w:rPr>
          <w:szCs w:val="24"/>
          <w:lang w:eastAsia="lt-LT"/>
        </w:rPr>
        <w:t>engiant teisės akto, kuriuo numatoma reglamentuoti iki tol nereglamentuotus santykius, taip pat kuriuo iš esmės keičiamas teisinis reguliavimas, projektą.</w:t>
      </w:r>
      <w:r>
        <w:rPr>
          <w:szCs w:val="24"/>
          <w:lang w:bidi="lo-LA"/>
        </w:rPr>
        <w:t xml:space="preserve"> </w:t>
      </w:r>
      <w:r>
        <w:rPr>
          <w:szCs w:val="24"/>
          <w:lang w:eastAsia="lt-LT"/>
        </w:rPr>
        <w:t>Atliekant vertinimą, nustatomas galimas teigiamas ir neigiamas poveikis to teisinio reguliavimo sričiai, asmenims ar jų grupėms, kuriems bus taikomas numatomas teisinis reguliavimas.</w:t>
      </w:r>
    </w:p>
    <w:p w14:paraId="0A7B29C9" w14:textId="77777777" w:rsidR="00767F2F" w:rsidRDefault="00767F2F">
      <w:pPr>
        <w:jc w:val="both"/>
        <w:rPr>
          <w:szCs w:val="24"/>
          <w:lang w:eastAsia="lt-LT"/>
        </w:rPr>
      </w:pPr>
    </w:p>
    <w:p w14:paraId="31FEB998" w14:textId="77777777" w:rsidR="00767F2F" w:rsidRDefault="00767F2F">
      <w:pPr>
        <w:jc w:val="both"/>
        <w:rPr>
          <w:szCs w:val="24"/>
          <w:lang w:eastAsia="lt-LT"/>
        </w:rPr>
      </w:pPr>
    </w:p>
    <w:p w14:paraId="1422D131" w14:textId="77777777" w:rsidR="00767F2F" w:rsidRDefault="00000000">
      <w:pPr>
        <w:jc w:val="both"/>
        <w:rPr>
          <w:bCs/>
          <w:szCs w:val="24"/>
        </w:rPr>
      </w:pPr>
      <w:r>
        <w:rPr>
          <w:szCs w:val="24"/>
          <w:lang w:eastAsia="lt-LT"/>
        </w:rPr>
        <w:t>Biudžeto ir finansų skyriaus vedėja</w:t>
      </w:r>
      <w:r>
        <w:rPr>
          <w:szCs w:val="24"/>
          <w:lang w:eastAsia="lt-LT"/>
        </w:rPr>
        <w:tab/>
      </w:r>
      <w:r>
        <w:rPr>
          <w:szCs w:val="24"/>
          <w:lang w:eastAsia="lt-LT"/>
        </w:rPr>
        <w:tab/>
        <w:t xml:space="preserve">                                     Jolanta Sakavičienė</w:t>
      </w:r>
    </w:p>
    <w:p w14:paraId="16BFF788" w14:textId="77777777" w:rsidR="00767F2F" w:rsidRDefault="00767F2F">
      <w:pPr>
        <w:spacing w:line="276" w:lineRule="auto"/>
        <w:jc w:val="both"/>
        <w:rPr>
          <w:b/>
          <w:bCs/>
          <w:szCs w:val="24"/>
          <w:lang w:eastAsia="lt-LT"/>
        </w:rPr>
      </w:pPr>
    </w:p>
    <w:p w14:paraId="5D87CEC2" w14:textId="77777777" w:rsidR="00767F2F" w:rsidRDefault="00767F2F">
      <w:pPr>
        <w:spacing w:line="276" w:lineRule="auto"/>
        <w:jc w:val="both"/>
        <w:rPr>
          <w:b/>
          <w:bCs/>
          <w:szCs w:val="24"/>
          <w:lang w:eastAsia="lt-LT"/>
        </w:rPr>
      </w:pPr>
    </w:p>
    <w:p w14:paraId="3E13C4B7" w14:textId="77777777" w:rsidR="00767F2F" w:rsidRDefault="00767F2F">
      <w:pPr>
        <w:spacing w:line="276" w:lineRule="auto"/>
        <w:jc w:val="both"/>
        <w:rPr>
          <w:b/>
          <w:bCs/>
          <w:szCs w:val="24"/>
          <w:lang w:eastAsia="lt-LT"/>
        </w:rPr>
      </w:pPr>
    </w:p>
    <w:p w14:paraId="176E6AF6" w14:textId="77777777" w:rsidR="00767F2F" w:rsidRDefault="00767F2F">
      <w:pPr>
        <w:spacing w:line="276" w:lineRule="auto"/>
        <w:jc w:val="both"/>
        <w:rPr>
          <w:b/>
          <w:bCs/>
          <w:szCs w:val="24"/>
          <w:lang w:eastAsia="lt-LT"/>
        </w:rPr>
      </w:pPr>
    </w:p>
    <w:sectPr w:rsidR="00767F2F">
      <w:pgSz w:w="11906" w:h="16838"/>
      <w:pgMar w:top="1134" w:right="567" w:bottom="1134" w:left="1701" w:header="0" w:footer="0" w:gutter="0"/>
      <w:cols w:space="1296"/>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BA"/>
    <w:family w:val="roman"/>
    <w:pitch w:val="variable"/>
  </w:font>
  <w:font w:name="NSimSun">
    <w:panose1 w:val="02010609030101010101"/>
    <w:charset w:val="86"/>
    <w:family w:val="modern"/>
    <w:pitch w:val="fixed"/>
    <w:sig w:usb0="00000203" w:usb1="288F0000" w:usb2="00000016" w:usb3="00000000" w:csb0="00040001" w:csb1="00000000"/>
  </w:font>
  <w:font w:name="Lucida Sans">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BA"/>
    <w:family w:val="swiss"/>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autoHyphenation/>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7F2F"/>
    <w:rsid w:val="00767F2F"/>
    <w:rsid w:val="008D7C38"/>
    <w:rsid w:val="00C977D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B23B9"/>
  <w15:docId w15:val="{2028FFA4-9FD6-4B25-9891-134E18BD1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sz w:val="24"/>
        <w:szCs w:val="24"/>
        <w:lang w:val="lt-LT"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rFonts w:ascii="Times New Roman" w:eastAsia="Times New Roman" w:hAnsi="Times New Roman" w:cs="Times New Roman"/>
      <w:szCs w:val="20"/>
      <w:lang w:bidi="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WW8Num1z0">
    <w:name w:val="WW8Num1z0"/>
    <w:qFormat/>
    <w:rPr>
      <w:rFonts w:ascii="Symbol" w:hAnsi="Symbol" w:cs="Symbol"/>
      <w:color w:val="000000"/>
      <w:sz w:val="20"/>
    </w:rPr>
  </w:style>
  <w:style w:type="character" w:customStyle="1" w:styleId="WW8Num1z1">
    <w:name w:val="WW8Num1z1"/>
    <w:qFormat/>
    <w:rPr>
      <w:rFonts w:ascii="Courier New" w:hAnsi="Courier New" w:cs="Courier New"/>
      <w:sz w:val="20"/>
    </w:rPr>
  </w:style>
  <w:style w:type="character" w:customStyle="1" w:styleId="WW8Num1z2">
    <w:name w:val="WW8Num1z2"/>
    <w:qFormat/>
    <w:rPr>
      <w:rFonts w:ascii="Wingdings" w:hAnsi="Wingdings" w:cs="Wingdings"/>
      <w:sz w:val="20"/>
    </w:rPr>
  </w:style>
  <w:style w:type="character" w:customStyle="1" w:styleId="WW8Num3z0">
    <w:name w:val="WW8Num3z0"/>
    <w:qFormat/>
    <w:rPr>
      <w:rFonts w:ascii="Symbol" w:hAnsi="Symbol" w:cs="Symbol"/>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7z0">
    <w:name w:val="WW8Num7z0"/>
    <w:qFormat/>
    <w:rPr>
      <w:rFonts w:ascii="Symbol" w:hAnsi="Symbol" w:cs="Symbol"/>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8z0">
    <w:name w:val="WW8Num8z0"/>
    <w:qFormat/>
    <w:rPr>
      <w:rFonts w:ascii="Symbol" w:hAnsi="Symbol" w:cs="Symbol"/>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9z0">
    <w:name w:val="WW8Num9z0"/>
    <w:qFormat/>
    <w:rPr>
      <w:rFonts w:ascii="Symbol" w:hAnsi="Symbol" w:cs="Symbol"/>
      <w:sz w:val="20"/>
    </w:rPr>
  </w:style>
  <w:style w:type="character" w:customStyle="1" w:styleId="WW8Num9z1">
    <w:name w:val="WW8Num9z1"/>
    <w:qFormat/>
    <w:rPr>
      <w:rFonts w:ascii="Courier New" w:hAnsi="Courier New" w:cs="Courier New"/>
      <w:sz w:val="20"/>
    </w:rPr>
  </w:style>
  <w:style w:type="character" w:customStyle="1" w:styleId="WW8Num9z2">
    <w:name w:val="WW8Num9z2"/>
    <w:qFormat/>
    <w:rPr>
      <w:rFonts w:ascii="Wingdings" w:hAnsi="Wingdings" w:cs="Wingdings"/>
      <w:sz w:val="20"/>
    </w:rPr>
  </w:style>
  <w:style w:type="character" w:customStyle="1" w:styleId="WW8Num10z0">
    <w:name w:val="WW8Num10z0"/>
    <w:qFormat/>
  </w:style>
  <w:style w:type="character" w:customStyle="1" w:styleId="WW8Num11z0">
    <w:name w:val="WW8Num11z0"/>
    <w:qFormat/>
    <w:rPr>
      <w:rFonts w:ascii="Symbol" w:hAnsi="Symbol" w:cs="Symbol"/>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2z0">
    <w:name w:val="WW8Num12z0"/>
    <w:qFormat/>
    <w:rPr>
      <w:rFonts w:ascii="Symbol" w:hAnsi="Symbol" w:cs="Symbol"/>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3z0">
    <w:name w:val="WW8Num13z0"/>
    <w:qFormat/>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Wingdings" w:hAnsi="Wingdings" w:cs="Wingdings"/>
    </w:rPr>
  </w:style>
  <w:style w:type="character" w:customStyle="1" w:styleId="WW8Num15z1">
    <w:name w:val="WW8Num15z1"/>
    <w:qFormat/>
    <w:rPr>
      <w:rFonts w:ascii="Courier New" w:hAnsi="Courier New" w:cs="Courier New"/>
    </w:rPr>
  </w:style>
  <w:style w:type="character" w:customStyle="1" w:styleId="WW8Num15z3">
    <w:name w:val="WW8Num15z3"/>
    <w:qFormat/>
    <w:rPr>
      <w:rFonts w:ascii="Symbol" w:hAnsi="Symbol" w:cs="Symbol"/>
    </w:rPr>
  </w:style>
  <w:style w:type="character" w:customStyle="1" w:styleId="WW8Num16z0">
    <w:name w:val="WW8Num16z0"/>
    <w:qFormat/>
    <w:rPr>
      <w:rFonts w:ascii="Symbol" w:hAnsi="Symbol" w:cs="Symbol"/>
      <w:sz w:val="20"/>
    </w:rPr>
  </w:style>
  <w:style w:type="character" w:customStyle="1" w:styleId="WW8Num16z1">
    <w:name w:val="WW8Num16z1"/>
    <w:qFormat/>
    <w:rPr>
      <w:rFonts w:ascii="Courier New" w:hAnsi="Courier New" w:cs="Courier New"/>
      <w:sz w:val="20"/>
    </w:rPr>
  </w:style>
  <w:style w:type="character" w:customStyle="1" w:styleId="WW8Num16z2">
    <w:name w:val="WW8Num16z2"/>
    <w:qFormat/>
    <w:rPr>
      <w:rFonts w:ascii="Wingdings" w:hAnsi="Wingdings" w:cs="Wingdings"/>
      <w:sz w:val="20"/>
    </w:rPr>
  </w:style>
  <w:style w:type="character" w:customStyle="1" w:styleId="WW8Num17z0">
    <w:name w:val="WW8Num17z0"/>
    <w:qFormat/>
    <w:rPr>
      <w:rFonts w:ascii="Symbol" w:hAnsi="Symbol" w:cs="Symbol"/>
      <w:sz w:val="20"/>
    </w:rPr>
  </w:style>
  <w:style w:type="character" w:customStyle="1" w:styleId="WW8Num17z1">
    <w:name w:val="WW8Num17z1"/>
    <w:qFormat/>
    <w:rPr>
      <w:rFonts w:ascii="Courier New" w:hAnsi="Courier New" w:cs="Courier New"/>
      <w:sz w:val="20"/>
    </w:rPr>
  </w:style>
  <w:style w:type="character" w:customStyle="1" w:styleId="WW8Num17z2">
    <w:name w:val="WW8Num17z2"/>
    <w:qFormat/>
    <w:rPr>
      <w:rFonts w:ascii="Wingdings" w:hAnsi="Wingdings" w:cs="Wingdings"/>
      <w:sz w:val="20"/>
    </w:rPr>
  </w:style>
  <w:style w:type="character" w:customStyle="1" w:styleId="WW8Num18z0">
    <w:name w:val="WW8Num18z0"/>
    <w:qFormat/>
    <w:rPr>
      <w:rFonts w:ascii="Symbol" w:hAnsi="Symbol" w:cs="Symbol"/>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rPr>
      <w:rFonts w:ascii="Symbol" w:hAnsi="Symbol" w:cs="Symbol"/>
      <w:sz w:val="20"/>
    </w:rPr>
  </w:style>
  <w:style w:type="character" w:customStyle="1" w:styleId="WW8Num20z1">
    <w:name w:val="WW8Num20z1"/>
    <w:qFormat/>
    <w:rPr>
      <w:rFonts w:ascii="Courier New" w:hAnsi="Courier New" w:cs="Courier New"/>
      <w:sz w:val="20"/>
    </w:rPr>
  </w:style>
  <w:style w:type="character" w:customStyle="1" w:styleId="WW8Num20z2">
    <w:name w:val="WW8Num20z2"/>
    <w:qFormat/>
    <w:rPr>
      <w:rFonts w:ascii="Wingdings" w:hAnsi="Wingdings" w:cs="Wingdings"/>
      <w:sz w:val="2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rPr>
      <w:rFonts w:ascii="Symbol" w:hAnsi="Symbol" w:cs="Symbol"/>
    </w:rPr>
  </w:style>
  <w:style w:type="character" w:customStyle="1" w:styleId="WW8Num22z1">
    <w:name w:val="WW8Num22z1"/>
    <w:qFormat/>
    <w:rPr>
      <w:rFonts w:ascii="Courier New" w:hAnsi="Courier New" w:cs="Courier New"/>
    </w:rPr>
  </w:style>
  <w:style w:type="character" w:customStyle="1" w:styleId="WW8Num22z2">
    <w:name w:val="WW8Num22z2"/>
    <w:qFormat/>
    <w:rPr>
      <w:rFonts w:ascii="Wingdings" w:hAnsi="Wingdings" w:cs="Wingdings"/>
    </w:rPr>
  </w:style>
  <w:style w:type="character" w:customStyle="1" w:styleId="WW8Num23z0">
    <w:name w:val="WW8Num23z0"/>
    <w:qFormat/>
    <w:rPr>
      <w:rFonts w:ascii="Symbol" w:hAnsi="Symbol" w:cs="Symbol"/>
    </w:rPr>
  </w:style>
  <w:style w:type="character" w:customStyle="1" w:styleId="WW8Num23z1">
    <w:name w:val="WW8Num23z1"/>
    <w:qFormat/>
    <w:rPr>
      <w:rFonts w:ascii="Courier New" w:hAnsi="Courier New" w:cs="Courier New"/>
    </w:rPr>
  </w:style>
  <w:style w:type="character" w:customStyle="1" w:styleId="WW8Num23z2">
    <w:name w:val="WW8Num23z2"/>
    <w:qFormat/>
    <w:rPr>
      <w:rFonts w:ascii="Wingdings" w:hAnsi="Wingdings" w:cs="Wingdings"/>
    </w:rPr>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rPr>
      <w:rFonts w:ascii="Symbol" w:hAnsi="Symbol" w:cs="Symbol"/>
    </w:rPr>
  </w:style>
  <w:style w:type="character" w:customStyle="1" w:styleId="WW8Num25z1">
    <w:name w:val="WW8Num25z1"/>
    <w:qFormat/>
    <w:rPr>
      <w:rFonts w:ascii="Courier New" w:hAnsi="Courier New" w:cs="Courier New"/>
    </w:rPr>
  </w:style>
  <w:style w:type="character" w:customStyle="1" w:styleId="WW8Num25z2">
    <w:name w:val="WW8Num25z2"/>
    <w:qFormat/>
    <w:rPr>
      <w:rFonts w:ascii="Wingdings" w:hAnsi="Wingdings" w:cs="Wingdings"/>
    </w:rPr>
  </w:style>
  <w:style w:type="character" w:customStyle="1" w:styleId="WW8Num26z0">
    <w:name w:val="WW8Num26z0"/>
    <w:qFormat/>
    <w:rPr>
      <w:b w:val="0"/>
    </w:rPr>
  </w:style>
  <w:style w:type="character" w:customStyle="1" w:styleId="WW8Num27z0">
    <w:name w:val="WW8Num27z0"/>
    <w:qFormat/>
    <w:rPr>
      <w:rFonts w:ascii="Symbol" w:hAnsi="Symbol" w:cs="Symbol"/>
      <w:sz w:val="20"/>
    </w:rPr>
  </w:style>
  <w:style w:type="character" w:customStyle="1" w:styleId="WW8Num27z1">
    <w:name w:val="WW8Num27z1"/>
    <w:qFormat/>
    <w:rPr>
      <w:rFonts w:ascii="Courier New" w:hAnsi="Courier New" w:cs="Courier New"/>
      <w:sz w:val="20"/>
    </w:rPr>
  </w:style>
  <w:style w:type="character" w:customStyle="1" w:styleId="WW8Num27z2">
    <w:name w:val="WW8Num27z2"/>
    <w:qFormat/>
    <w:rPr>
      <w:rFonts w:ascii="Wingdings" w:hAnsi="Wingdings" w:cs="Wingdings"/>
      <w:sz w:val="20"/>
    </w:rPr>
  </w:style>
  <w:style w:type="character" w:customStyle="1" w:styleId="AntratsDiagrama">
    <w:name w:val="Antraštės Diagrama"/>
    <w:qFormat/>
    <w:rPr>
      <w:sz w:val="24"/>
    </w:rPr>
  </w:style>
  <w:style w:type="character" w:customStyle="1" w:styleId="PoratDiagrama">
    <w:name w:val="Poraštė Diagrama"/>
    <w:qFormat/>
    <w:rPr>
      <w:sz w:val="24"/>
    </w:rPr>
  </w:style>
  <w:style w:type="character" w:customStyle="1" w:styleId="StrongEmphasis">
    <w:name w:val="Strong Emphasis"/>
    <w:qFormat/>
    <w:rPr>
      <w:b/>
      <w:bCs/>
    </w:rPr>
  </w:style>
  <w:style w:type="paragraph" w:customStyle="1" w:styleId="Heading">
    <w:name w:val="Heading"/>
    <w:basedOn w:val="prastasis"/>
    <w:next w:val="Pagrindinistekstas"/>
    <w:qFormat/>
    <w:pPr>
      <w:keepNext/>
      <w:spacing w:before="240" w:after="120"/>
    </w:pPr>
    <w:rPr>
      <w:rFonts w:ascii="Liberation Sans" w:eastAsia="Microsoft YaHei" w:hAnsi="Liberation Sans" w:cs="Lucida Sans"/>
      <w:sz w:val="28"/>
      <w:szCs w:val="28"/>
    </w:rPr>
  </w:style>
  <w:style w:type="paragraph" w:styleId="Pagrindinistekstas">
    <w:name w:val="Body Text"/>
    <w:basedOn w:val="prastasis"/>
    <w:pPr>
      <w:spacing w:after="140" w:line="276" w:lineRule="auto"/>
    </w:pPr>
  </w:style>
  <w:style w:type="paragraph" w:styleId="Sraas">
    <w:name w:val="List"/>
    <w:basedOn w:val="Pagrindinistekstas"/>
    <w:rPr>
      <w:rFonts w:cs="Lucida Sans"/>
    </w:rPr>
  </w:style>
  <w:style w:type="paragraph" w:styleId="Antrat">
    <w:name w:val="caption"/>
    <w:basedOn w:val="prastasis"/>
    <w:qFormat/>
    <w:pPr>
      <w:suppressLineNumbers/>
      <w:spacing w:before="120" w:after="120"/>
    </w:pPr>
    <w:rPr>
      <w:rFonts w:cs="Lucida Sans"/>
      <w:i/>
      <w:iCs/>
      <w:szCs w:val="24"/>
    </w:rPr>
  </w:style>
  <w:style w:type="paragraph" w:customStyle="1" w:styleId="Index">
    <w:name w:val="Index"/>
    <w:basedOn w:val="prastasis"/>
    <w:qFormat/>
    <w:pPr>
      <w:suppressLineNumbers/>
    </w:pPr>
    <w:rPr>
      <w:rFonts w:cs="Lucida Sans"/>
      <w:lang/>
    </w:rPr>
  </w:style>
  <w:style w:type="paragraph" w:customStyle="1" w:styleId="HeaderandFooter">
    <w:name w:val="Header and Footer"/>
    <w:basedOn w:val="prastasis"/>
    <w:qFormat/>
    <w:pPr>
      <w:suppressLineNumbers/>
      <w:tabs>
        <w:tab w:val="center" w:pos="4819"/>
        <w:tab w:val="right" w:pos="9638"/>
      </w:tabs>
    </w:pPr>
  </w:style>
  <w:style w:type="paragraph" w:styleId="Antrats">
    <w:name w:val="header"/>
    <w:basedOn w:val="prastasis"/>
    <w:pPr>
      <w:tabs>
        <w:tab w:val="center" w:pos="4819"/>
        <w:tab w:val="right" w:pos="9638"/>
      </w:tabs>
    </w:pPr>
  </w:style>
  <w:style w:type="paragraph" w:styleId="Porat">
    <w:name w:val="footer"/>
    <w:basedOn w:val="prastasis"/>
    <w:pPr>
      <w:tabs>
        <w:tab w:val="center" w:pos="4819"/>
        <w:tab w:val="right" w:pos="9638"/>
      </w:tabs>
    </w:pPr>
  </w:style>
  <w:style w:type="paragraph" w:styleId="prastasiniatinklio">
    <w:name w:val="Normal (Web)"/>
    <w:basedOn w:val="prastasis"/>
    <w:qFormat/>
    <w:pPr>
      <w:spacing w:before="280" w:after="280"/>
    </w:pPr>
    <w:rPr>
      <w:szCs w:val="24"/>
    </w:rPr>
  </w:style>
  <w:style w:type="paragraph" w:styleId="Sraopastraipa">
    <w:name w:val="List Paragraph"/>
    <w:basedOn w:val="prastasis"/>
    <w:qFormat/>
    <w:pPr>
      <w:ind w:left="1296"/>
    </w:pPr>
  </w:style>
  <w:style w:type="paragraph" w:customStyle="1" w:styleId="TableContents">
    <w:name w:val="Table Contents"/>
    <w:basedOn w:val="prastasis"/>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1305</TotalTime>
  <Pages>4</Pages>
  <Words>4755</Words>
  <Characters>2711</Characters>
  <Application>Microsoft Office Word</Application>
  <DocSecurity>0</DocSecurity>
  <Lines>22</Lines>
  <Paragraphs>14</Paragraphs>
  <ScaleCrop>false</ScaleCrop>
  <Company/>
  <LinksUpToDate>false</LinksUpToDate>
  <CharactersWithSpaces>7452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Steponas Navajauskas</cp:lastModifiedBy>
  <cp:revision>36</cp:revision>
  <cp:lastPrinted>2026-05-18T10:19:00Z</cp:lastPrinted>
  <dcterms:created xsi:type="dcterms:W3CDTF">2026-04-09T15:37:00Z</dcterms:created>
  <dcterms:modified xsi:type="dcterms:W3CDTF">2026-10-22T08:05:00Z</dcterms:modified>
  <dc:language>lt-LT</dc:language>
</cp:coreProperties>
</file>