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7B2C" w14:textId="77777777" w:rsidR="00814B7B" w:rsidRDefault="00000000">
      <w:pPr>
        <w:ind w:left="3456" w:firstLine="4320"/>
        <w:jc w:val="center"/>
        <w:rPr>
          <w:b/>
        </w:rPr>
      </w:pPr>
      <w:r>
        <w:rPr>
          <w:b/>
        </w:rPr>
        <w:t>Projektas</w:t>
      </w:r>
    </w:p>
    <w:p w14:paraId="0FE814FD" w14:textId="77777777" w:rsidR="00814B7B" w:rsidRDefault="00000000">
      <w:pPr>
        <w:jc w:val="center"/>
        <w:rPr>
          <w:szCs w:val="24"/>
          <w:lang w:eastAsia="ar-SA"/>
        </w:rPr>
      </w:pPr>
      <w:r>
        <w:rPr>
          <w:rFonts w:cs="Tahoma"/>
          <w:noProof/>
          <w:szCs w:val="24"/>
          <w:lang w:eastAsia="lt-LT"/>
        </w:rPr>
        <w:drawing>
          <wp:inline distT="0" distB="0" distL="0" distR="0" wp14:anchorId="194C76B8" wp14:editId="25732A9E">
            <wp:extent cx="575310" cy="679450"/>
            <wp:effectExtent l="0" t="0" r="0" b="0"/>
            <wp:docPr id="1"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268298999"/>
                    <pic:cNvPicPr>
                      <a:picLocks noChangeAspect="1" noChangeArrowheads="1"/>
                    </pic:cNvPicPr>
                  </pic:nvPicPr>
                  <pic:blipFill>
                    <a:blip r:embed="rId5"/>
                    <a:srcRect l="-48" t="-41" r="-48" b="-41"/>
                    <a:stretch>
                      <a:fillRect/>
                    </a:stretch>
                  </pic:blipFill>
                  <pic:spPr bwMode="auto">
                    <a:xfrm>
                      <a:off x="0" y="0"/>
                      <a:ext cx="575310" cy="679450"/>
                    </a:xfrm>
                    <a:prstGeom prst="rect">
                      <a:avLst/>
                    </a:prstGeom>
                  </pic:spPr>
                </pic:pic>
              </a:graphicData>
            </a:graphic>
          </wp:inline>
        </w:drawing>
      </w:r>
    </w:p>
    <w:p w14:paraId="5579E4C2" w14:textId="77777777" w:rsidR="00814B7B" w:rsidRDefault="00814B7B">
      <w:pPr>
        <w:jc w:val="center"/>
        <w:rPr>
          <w:szCs w:val="24"/>
          <w:lang w:eastAsia="ar-SA"/>
        </w:rPr>
      </w:pPr>
    </w:p>
    <w:p w14:paraId="4049BED1" w14:textId="77777777" w:rsidR="00814B7B" w:rsidRDefault="00000000">
      <w:pPr>
        <w:jc w:val="center"/>
        <w:rPr>
          <w:b/>
          <w:bCs/>
          <w:caps/>
          <w:szCs w:val="24"/>
          <w:lang w:eastAsia="ar-SA"/>
        </w:rPr>
      </w:pPr>
      <w:r>
        <w:rPr>
          <w:b/>
          <w:bCs/>
          <w:caps/>
          <w:szCs w:val="24"/>
          <w:lang w:eastAsia="ar-SA"/>
        </w:rPr>
        <w:t>kėdainių rajono savivaldybėS TARYBA</w:t>
      </w:r>
    </w:p>
    <w:p w14:paraId="682A37AF" w14:textId="77777777" w:rsidR="00814B7B" w:rsidRDefault="00814B7B">
      <w:pPr>
        <w:jc w:val="center"/>
        <w:rPr>
          <w:b/>
          <w:bCs/>
          <w:caps/>
          <w:szCs w:val="24"/>
          <w:lang w:eastAsia="ar-SA"/>
        </w:rPr>
      </w:pPr>
    </w:p>
    <w:p w14:paraId="36A713A9" w14:textId="77777777" w:rsidR="00814B7B" w:rsidRDefault="00000000">
      <w:pPr>
        <w:jc w:val="center"/>
        <w:rPr>
          <w:b/>
          <w:sz w:val="28"/>
          <w:szCs w:val="28"/>
          <w:lang w:eastAsia="lt-LT"/>
        </w:rPr>
      </w:pPr>
      <w:r>
        <w:rPr>
          <w:b/>
          <w:bCs/>
          <w:caps/>
          <w:szCs w:val="24"/>
          <w:lang w:eastAsia="ar-SA"/>
        </w:rPr>
        <w:t>SPRENDIMAS</w:t>
      </w:r>
    </w:p>
    <w:p w14:paraId="42AA0121" w14:textId="77777777" w:rsidR="00814B7B" w:rsidRDefault="00000000">
      <w:pPr>
        <w:spacing w:line="276" w:lineRule="auto"/>
        <w:contextualSpacing/>
        <w:jc w:val="center"/>
        <w:rPr>
          <w:rFonts w:eastAsia="Calibri"/>
          <w:b/>
          <w:bCs/>
          <w:szCs w:val="24"/>
          <w:lang w:eastAsia="lt-LT"/>
        </w:rPr>
      </w:pPr>
      <w:r>
        <w:rPr>
          <w:b/>
          <w:szCs w:val="24"/>
          <w:lang w:eastAsia="lt-LT"/>
        </w:rPr>
        <w:t>DĖL KĖDAINIŲ RAJONO SAVIVALDYBĖS TARYBOS 2026 M. VASARIO 20 D. SPRENDIMO NR. TS-36 „</w:t>
      </w:r>
      <w:r>
        <w:rPr>
          <w:rFonts w:eastAsia="Calibri"/>
          <w:b/>
          <w:bCs/>
          <w:szCs w:val="24"/>
          <w:lang w:eastAsia="lt-LT"/>
        </w:rPr>
        <w:t xml:space="preserve">DĖL KĖDAINIŲ RAJONO SAVIVALDYBĖS </w:t>
      </w:r>
    </w:p>
    <w:p w14:paraId="0EFA1473" w14:textId="77777777" w:rsidR="00814B7B" w:rsidRDefault="00000000">
      <w:pPr>
        <w:spacing w:line="276" w:lineRule="auto"/>
        <w:contextualSpacing/>
        <w:jc w:val="center"/>
        <w:rPr>
          <w:b/>
          <w:szCs w:val="24"/>
          <w:lang w:eastAsia="lt-LT"/>
        </w:rPr>
      </w:pPr>
      <w:r>
        <w:rPr>
          <w:rFonts w:eastAsia="Calibri"/>
          <w:b/>
          <w:bCs/>
          <w:szCs w:val="24"/>
          <w:lang w:eastAsia="lt-LT"/>
        </w:rPr>
        <w:t>2026–2028  METŲ BIUDŽETO PATVIRTINIMO</w:t>
      </w:r>
      <w:r>
        <w:rPr>
          <w:b/>
          <w:szCs w:val="24"/>
          <w:lang w:eastAsia="lt-LT"/>
        </w:rPr>
        <w:t>“  PAKEITIMO</w:t>
      </w:r>
    </w:p>
    <w:p w14:paraId="2AEF41DE" w14:textId="77777777" w:rsidR="00814B7B" w:rsidRDefault="00814B7B">
      <w:pPr>
        <w:jc w:val="center"/>
        <w:rPr>
          <w:b/>
          <w:szCs w:val="24"/>
          <w:lang w:eastAsia="lt-LT"/>
        </w:rPr>
      </w:pPr>
    </w:p>
    <w:p w14:paraId="2E3FDB01" w14:textId="6FE89F89" w:rsidR="00874EA2" w:rsidRPr="00EC1F0C" w:rsidRDefault="00874EA2" w:rsidP="00874EA2">
      <w:pPr>
        <w:contextualSpacing/>
        <w:jc w:val="center"/>
        <w:rPr>
          <w:szCs w:val="24"/>
        </w:rPr>
      </w:pPr>
      <w:bookmarkStart w:id="0" w:name="_Hlk208906582"/>
      <w:bookmarkStart w:id="1" w:name="_Hlk216274433"/>
      <w:bookmarkStart w:id="2" w:name="_Hlk214265144"/>
      <w:bookmarkStart w:id="3" w:name="_Hlk207786081"/>
      <w:r w:rsidRPr="00EC1F0C">
        <w:rPr>
          <w:szCs w:val="24"/>
        </w:rPr>
        <w:t xml:space="preserve">2026 m. </w:t>
      </w:r>
      <w:r>
        <w:rPr>
          <w:szCs w:val="24"/>
        </w:rPr>
        <w:t>balandžio 13</w:t>
      </w:r>
      <w:r w:rsidRPr="00EC1F0C">
        <w:rPr>
          <w:szCs w:val="24"/>
        </w:rPr>
        <w:t xml:space="preserve"> d. Nr. </w:t>
      </w:r>
      <w:bookmarkEnd w:id="0"/>
      <w:r w:rsidRPr="00EC1F0C">
        <w:rPr>
          <w:szCs w:val="24"/>
        </w:rPr>
        <w:t>SP-</w:t>
      </w:r>
      <w:bookmarkEnd w:id="1"/>
      <w:r>
        <w:rPr>
          <w:szCs w:val="24"/>
        </w:rPr>
        <w:t>119</w:t>
      </w:r>
      <w:r w:rsidRPr="00EC1F0C">
        <w:rPr>
          <w:szCs w:val="24"/>
        </w:rPr>
        <w:t xml:space="preserve">  </w:t>
      </w:r>
      <w:bookmarkEnd w:id="2"/>
    </w:p>
    <w:bookmarkEnd w:id="3"/>
    <w:p w14:paraId="269C7097" w14:textId="77777777" w:rsidR="00814B7B" w:rsidRDefault="00000000">
      <w:pPr>
        <w:jc w:val="center"/>
        <w:rPr>
          <w:szCs w:val="24"/>
          <w:lang w:eastAsia="lt-LT"/>
        </w:rPr>
      </w:pPr>
      <w:r>
        <w:rPr>
          <w:szCs w:val="24"/>
          <w:lang w:eastAsia="lt-LT"/>
        </w:rPr>
        <w:t>Kėdainiai</w:t>
      </w:r>
    </w:p>
    <w:p w14:paraId="5A981B68" w14:textId="77777777" w:rsidR="00814B7B" w:rsidRDefault="00814B7B">
      <w:pPr>
        <w:jc w:val="center"/>
        <w:rPr>
          <w:szCs w:val="24"/>
          <w:lang w:eastAsia="lt-LT"/>
        </w:rPr>
      </w:pPr>
    </w:p>
    <w:p w14:paraId="743CB1E6" w14:textId="77777777" w:rsidR="00874EA2" w:rsidRPr="00EC1F0C" w:rsidRDefault="00000000" w:rsidP="00874EA2">
      <w:pPr>
        <w:ind w:firstLine="851"/>
        <w:contextualSpacing/>
        <w:jc w:val="both"/>
        <w:rPr>
          <w:szCs w:val="24"/>
        </w:rPr>
      </w:pPr>
      <w:r>
        <w:rPr>
          <w:szCs w:val="24"/>
          <w:lang w:eastAsia="lt-LT"/>
        </w:rPr>
        <w:t xml:space="preserve">Kėdainių rajono savivaldybės taryba  </w:t>
      </w:r>
      <w:bookmarkStart w:id="4" w:name="_Hlk208906614"/>
      <w:bookmarkStart w:id="5" w:name="_Hlk207783678"/>
      <w:r w:rsidR="00874EA2" w:rsidRPr="00EC1F0C">
        <w:rPr>
          <w:spacing w:val="60"/>
          <w:szCs w:val="24"/>
        </w:rPr>
        <w:t>nusprendži</w:t>
      </w:r>
      <w:r w:rsidR="00874EA2" w:rsidRPr="00EC1F0C">
        <w:rPr>
          <w:szCs w:val="24"/>
        </w:rPr>
        <w:t>a:</w:t>
      </w:r>
      <w:bookmarkEnd w:id="4"/>
    </w:p>
    <w:bookmarkEnd w:id="5"/>
    <w:p w14:paraId="43851AF0" w14:textId="77777777" w:rsidR="00814B7B" w:rsidRDefault="00000000" w:rsidP="00874EA2">
      <w:pPr>
        <w:ind w:firstLine="851"/>
        <w:jc w:val="both"/>
      </w:pPr>
      <w:r>
        <w:rPr>
          <w:szCs w:val="24"/>
          <w:lang w:eastAsia="lt-LT"/>
        </w:rPr>
        <w:t>Pakeisti Kėdainių rajono savivaldybės tarybos 2026 m. vasario 20 d. sprendimą Nr. TS-36 „D</w:t>
      </w:r>
      <w:r>
        <w:rPr>
          <w:bCs/>
          <w:szCs w:val="24"/>
          <w:lang w:eastAsia="lt-LT"/>
        </w:rPr>
        <w:t>ėl Kėdainių rajono savivaldybės 2026–2028  metų biudžeto patvirtinimo</w:t>
      </w:r>
      <w:r>
        <w:rPr>
          <w:szCs w:val="24"/>
          <w:lang w:eastAsia="lt-LT"/>
        </w:rPr>
        <w:t>“:</w:t>
      </w:r>
    </w:p>
    <w:p w14:paraId="646737B6" w14:textId="0CFF469C" w:rsidR="00814B7B" w:rsidRDefault="00000000" w:rsidP="00874EA2">
      <w:pPr>
        <w:pStyle w:val="Sraopastraipa"/>
        <w:numPr>
          <w:ilvl w:val="0"/>
          <w:numId w:val="4"/>
        </w:numPr>
        <w:spacing w:line="256" w:lineRule="auto"/>
        <w:jc w:val="both"/>
      </w:pPr>
      <w:bookmarkStart w:id="6" w:name="_Hlk214023955"/>
      <w:r w:rsidRPr="00874EA2">
        <w:rPr>
          <w:color w:val="000000"/>
          <w:szCs w:val="24"/>
          <w:lang w:eastAsia="lt-LT"/>
        </w:rPr>
        <w:t xml:space="preserve">Pakeisti </w:t>
      </w:r>
      <w:bookmarkEnd w:id="6"/>
      <w:r w:rsidRPr="00874EA2">
        <w:rPr>
          <w:szCs w:val="24"/>
        </w:rPr>
        <w:t xml:space="preserve">1.1 </w:t>
      </w:r>
      <w:bookmarkStart w:id="7" w:name="_Hlk214024030"/>
      <w:r w:rsidRPr="00874EA2">
        <w:rPr>
          <w:szCs w:val="24"/>
        </w:rPr>
        <w:t xml:space="preserve">papunktį ir jį išdėstyti </w:t>
      </w:r>
      <w:bookmarkEnd w:id="7"/>
      <w:r w:rsidRPr="00874EA2">
        <w:rPr>
          <w:szCs w:val="24"/>
        </w:rPr>
        <w:t>taip:</w:t>
      </w:r>
    </w:p>
    <w:p w14:paraId="66D128BE" w14:textId="77777777" w:rsidR="00814B7B" w:rsidRDefault="00000000" w:rsidP="00874EA2">
      <w:pPr>
        <w:spacing w:line="276" w:lineRule="auto"/>
        <w:ind w:firstLine="851"/>
        <w:jc w:val="both"/>
      </w:pPr>
      <w:r>
        <w:rPr>
          <w:szCs w:val="24"/>
          <w:lang w:eastAsia="lt-LT"/>
        </w:rPr>
        <w:t xml:space="preserve">„1.1. 2026 metams – 119 713,3 tūkst. Eur ir jų paskirstymą pagal pajamų rūšis, finansinių įsipareigojimų prisiėmimą (skolinimąsi) ‒ 4 375,2 tūkst. Eur, metų pradžios lėšų likutį – 7 448,0 tūkst. Eur (1 priedas). Iš jų  ̶  iš biudžeto išlaikomų įstaigų 2026 metų pajamas už prekes ir paslaugas – 3 293,6 tūkst. Eur (2 priedas).“   </w:t>
      </w:r>
    </w:p>
    <w:p w14:paraId="0114E2E2" w14:textId="49D011BB" w:rsidR="00814B7B" w:rsidRDefault="00000000" w:rsidP="00874EA2">
      <w:pPr>
        <w:pStyle w:val="Sraopastraipa"/>
        <w:numPr>
          <w:ilvl w:val="0"/>
          <w:numId w:val="4"/>
        </w:numPr>
        <w:jc w:val="both"/>
      </w:pPr>
      <w:r w:rsidRPr="00874EA2">
        <w:rPr>
          <w:color w:val="000000"/>
          <w:szCs w:val="24"/>
          <w:lang w:eastAsia="lt-LT"/>
        </w:rPr>
        <w:t xml:space="preserve">Pakeisti </w:t>
      </w:r>
      <w:r w:rsidRPr="00874EA2">
        <w:rPr>
          <w:szCs w:val="24"/>
          <w:lang w:eastAsia="lt-LT"/>
        </w:rPr>
        <w:t xml:space="preserve">1 priedą ir </w:t>
      </w:r>
      <w:bookmarkStart w:id="8" w:name="_Hlk214024055"/>
      <w:r w:rsidRPr="00874EA2">
        <w:rPr>
          <w:szCs w:val="24"/>
          <w:lang w:eastAsia="lt-LT"/>
        </w:rPr>
        <w:t xml:space="preserve">jį išdėstyti nauja </w:t>
      </w:r>
      <w:bookmarkEnd w:id="8"/>
      <w:r w:rsidRPr="00874EA2">
        <w:rPr>
          <w:szCs w:val="24"/>
          <w:lang w:eastAsia="lt-LT"/>
        </w:rPr>
        <w:t>redakcija (pridedama).</w:t>
      </w:r>
    </w:p>
    <w:p w14:paraId="1950B41F" w14:textId="03C1ADA8" w:rsidR="00814B7B" w:rsidRDefault="00000000" w:rsidP="00874EA2">
      <w:pPr>
        <w:pStyle w:val="Sraopastraipa"/>
        <w:numPr>
          <w:ilvl w:val="0"/>
          <w:numId w:val="4"/>
        </w:numPr>
        <w:jc w:val="both"/>
      </w:pPr>
      <w:r w:rsidRPr="00874EA2">
        <w:rPr>
          <w:color w:val="000000"/>
          <w:szCs w:val="24"/>
          <w:lang w:eastAsia="lt-LT"/>
        </w:rPr>
        <w:t xml:space="preserve">Pakeisti </w:t>
      </w:r>
      <w:r w:rsidRPr="00874EA2">
        <w:rPr>
          <w:szCs w:val="24"/>
          <w:lang w:eastAsia="lt-LT"/>
        </w:rPr>
        <w:t xml:space="preserve">2.1 papunktį </w:t>
      </w:r>
      <w:r w:rsidRPr="00874EA2">
        <w:rPr>
          <w:szCs w:val="24"/>
        </w:rPr>
        <w:t xml:space="preserve">ir jį išdėstyti </w:t>
      </w:r>
      <w:r w:rsidRPr="00874EA2">
        <w:rPr>
          <w:szCs w:val="24"/>
          <w:lang w:eastAsia="lt-LT"/>
        </w:rPr>
        <w:t>taip:</w:t>
      </w:r>
    </w:p>
    <w:p w14:paraId="481ACFB2" w14:textId="77777777" w:rsidR="00814B7B" w:rsidRDefault="00000000" w:rsidP="00874EA2">
      <w:pPr>
        <w:spacing w:line="276" w:lineRule="auto"/>
        <w:ind w:firstLine="851"/>
        <w:jc w:val="both"/>
        <w:rPr>
          <w:szCs w:val="24"/>
          <w:lang w:eastAsia="lt-LT"/>
        </w:rPr>
      </w:pPr>
      <w:r>
        <w:rPr>
          <w:szCs w:val="24"/>
          <w:lang w:eastAsia="lt-LT"/>
        </w:rPr>
        <w:t>„2026 metams – 131 536,5 tūkst. Eur ir jų paskirstymą Savivaldybės administracijai ir (ar) Savivaldybės administracijos struktūriniams padaliniams ar Savivaldybės biudžetinėms įstaigoms programoms vykdyti (3 priedas);</w:t>
      </w:r>
    </w:p>
    <w:p w14:paraId="479EBB1D" w14:textId="02B5F829" w:rsidR="00814B7B" w:rsidRPr="00874EA2" w:rsidRDefault="00000000" w:rsidP="00874EA2">
      <w:pPr>
        <w:pStyle w:val="Sraopastraipa"/>
        <w:numPr>
          <w:ilvl w:val="0"/>
          <w:numId w:val="4"/>
        </w:numPr>
        <w:jc w:val="both"/>
        <w:rPr>
          <w:szCs w:val="24"/>
          <w:lang w:eastAsia="lt-LT"/>
        </w:rPr>
      </w:pPr>
      <w:bookmarkStart w:id="9" w:name="_Hlk201050172"/>
      <w:r w:rsidRPr="00874EA2">
        <w:rPr>
          <w:color w:val="000000"/>
          <w:szCs w:val="24"/>
          <w:lang w:eastAsia="lt-LT"/>
        </w:rPr>
        <w:t xml:space="preserve">Pakeisti </w:t>
      </w:r>
      <w:r w:rsidRPr="00874EA2">
        <w:rPr>
          <w:szCs w:val="24"/>
          <w:lang w:eastAsia="lt-LT"/>
        </w:rPr>
        <w:t xml:space="preserve">3 priedą jį išdėstyti </w:t>
      </w:r>
      <w:bookmarkEnd w:id="9"/>
      <w:r w:rsidRPr="00874EA2">
        <w:rPr>
          <w:szCs w:val="24"/>
          <w:lang w:eastAsia="lt-LT"/>
        </w:rPr>
        <w:t>nauja redakcija (pridedama).</w:t>
      </w:r>
    </w:p>
    <w:p w14:paraId="2F7D28CB" w14:textId="77777777" w:rsidR="00814B7B" w:rsidRDefault="00814B7B">
      <w:pPr>
        <w:ind w:firstLine="720"/>
        <w:jc w:val="both"/>
        <w:rPr>
          <w:szCs w:val="24"/>
          <w:lang w:eastAsia="lt-LT"/>
        </w:rPr>
      </w:pPr>
    </w:p>
    <w:p w14:paraId="6F92C4BE" w14:textId="77777777" w:rsidR="00814B7B" w:rsidRDefault="00814B7B">
      <w:pPr>
        <w:ind w:firstLine="720"/>
        <w:jc w:val="both"/>
        <w:rPr>
          <w:szCs w:val="24"/>
          <w:lang w:eastAsia="lt-LT"/>
        </w:rPr>
      </w:pPr>
    </w:p>
    <w:p w14:paraId="6C92946C" w14:textId="77777777" w:rsidR="00814B7B" w:rsidRDefault="00000000">
      <w:pPr>
        <w:rPr>
          <w:szCs w:val="24"/>
          <w:lang w:eastAsia="lt-LT"/>
        </w:rPr>
      </w:pPr>
      <w:r>
        <w:rPr>
          <w:szCs w:val="24"/>
          <w:lang w:eastAsia="lt-LT"/>
        </w:rPr>
        <w:t>Savivaldybės meras</w:t>
      </w:r>
    </w:p>
    <w:p w14:paraId="4E54E68C" w14:textId="77777777" w:rsidR="00814B7B" w:rsidRDefault="00814B7B">
      <w:pPr>
        <w:rPr>
          <w:szCs w:val="24"/>
          <w:lang w:eastAsia="lt-LT"/>
        </w:rPr>
      </w:pPr>
    </w:p>
    <w:p w14:paraId="2A1D77AE" w14:textId="77777777" w:rsidR="00814B7B" w:rsidRDefault="00814B7B">
      <w:pPr>
        <w:rPr>
          <w:szCs w:val="24"/>
          <w:lang w:eastAsia="lt-LT"/>
        </w:rPr>
      </w:pPr>
    </w:p>
    <w:p w14:paraId="47851A7D" w14:textId="77777777" w:rsidR="00814B7B" w:rsidRDefault="00814B7B">
      <w:pPr>
        <w:rPr>
          <w:szCs w:val="24"/>
          <w:lang w:eastAsia="lt-LT"/>
        </w:rPr>
      </w:pPr>
    </w:p>
    <w:p w14:paraId="585603CD" w14:textId="77777777" w:rsidR="00814B7B" w:rsidRDefault="00814B7B">
      <w:pPr>
        <w:rPr>
          <w:rFonts w:eastAsia="Calibri"/>
          <w:szCs w:val="24"/>
          <w:lang w:eastAsia="lt-LT"/>
        </w:rPr>
      </w:pPr>
    </w:p>
    <w:p w14:paraId="76DCB9DE" w14:textId="77777777" w:rsidR="00814B7B" w:rsidRDefault="00000000">
      <w:pPr>
        <w:ind w:firstLine="2188"/>
        <w:jc w:val="both"/>
        <w:rPr>
          <w:color w:val="000000"/>
          <w:szCs w:val="24"/>
          <w:lang w:eastAsia="lt-LT"/>
        </w:rPr>
      </w:pPr>
      <w:bookmarkStart w:id="10" w:name="part_7b55e3d045174f62b7317d8e93b5516d"/>
      <w:bookmarkEnd w:id="10"/>
      <w:r>
        <w:rPr>
          <w:color w:val="000000"/>
          <w:szCs w:val="24"/>
          <w:lang w:eastAsia="lt-LT"/>
        </w:rPr>
        <w:t> </w:t>
      </w:r>
    </w:p>
    <w:p w14:paraId="0CD37728" w14:textId="77777777" w:rsidR="00814B7B" w:rsidRDefault="00814B7B">
      <w:pPr>
        <w:spacing w:after="200" w:line="276" w:lineRule="auto"/>
        <w:rPr>
          <w:color w:val="000000"/>
          <w:szCs w:val="24"/>
          <w:lang w:eastAsia="lt-LT"/>
        </w:rPr>
      </w:pPr>
    </w:p>
    <w:p w14:paraId="278EF69A" w14:textId="77777777" w:rsidR="00814B7B" w:rsidRDefault="00814B7B">
      <w:pPr>
        <w:spacing w:after="200" w:line="276" w:lineRule="auto"/>
        <w:rPr>
          <w:szCs w:val="24"/>
          <w:lang w:eastAsia="lt-LT"/>
        </w:rPr>
      </w:pPr>
    </w:p>
    <w:p w14:paraId="329726D9" w14:textId="77777777" w:rsidR="00814B7B" w:rsidRDefault="00814B7B">
      <w:pPr>
        <w:spacing w:after="200" w:line="276" w:lineRule="auto"/>
        <w:rPr>
          <w:szCs w:val="24"/>
          <w:lang w:eastAsia="lt-LT"/>
        </w:rPr>
      </w:pPr>
    </w:p>
    <w:p w14:paraId="6BBA0F72" w14:textId="77777777" w:rsidR="00814B7B" w:rsidRDefault="00814B7B">
      <w:pPr>
        <w:spacing w:after="200" w:line="276" w:lineRule="auto"/>
        <w:rPr>
          <w:szCs w:val="24"/>
          <w:lang w:eastAsia="lt-LT"/>
        </w:rPr>
      </w:pPr>
    </w:p>
    <w:p w14:paraId="5BEF8698" w14:textId="77777777" w:rsidR="00814B7B" w:rsidRDefault="00814B7B">
      <w:pPr>
        <w:spacing w:after="200" w:line="276" w:lineRule="auto"/>
        <w:rPr>
          <w:szCs w:val="24"/>
          <w:lang w:eastAsia="lt-LT"/>
        </w:rPr>
      </w:pPr>
    </w:p>
    <w:p w14:paraId="0F0B4A91" w14:textId="77777777" w:rsidR="00814B7B" w:rsidRDefault="00814B7B">
      <w:pPr>
        <w:spacing w:after="200" w:line="276" w:lineRule="auto"/>
        <w:rPr>
          <w:szCs w:val="24"/>
          <w:lang w:eastAsia="lt-LT"/>
        </w:rPr>
      </w:pPr>
    </w:p>
    <w:p w14:paraId="3F384BE2" w14:textId="77777777" w:rsidR="00814B7B" w:rsidRDefault="00814B7B">
      <w:pPr>
        <w:spacing w:after="200" w:line="276" w:lineRule="auto"/>
        <w:rPr>
          <w:szCs w:val="24"/>
          <w:lang w:eastAsia="lt-LT"/>
        </w:rPr>
      </w:pPr>
    </w:p>
    <w:p w14:paraId="6DC3E135" w14:textId="77777777" w:rsidR="00814B7B" w:rsidRDefault="00000000">
      <w:pPr>
        <w:spacing w:after="200" w:line="276" w:lineRule="auto"/>
      </w:pPr>
      <w:r>
        <w:rPr>
          <w:szCs w:val="24"/>
          <w:lang w:eastAsia="lt-LT"/>
        </w:rPr>
        <w:lastRenderedPageBreak/>
        <w:t>Kėdainių rajono savivaldybės tarybai</w:t>
      </w:r>
      <w:r>
        <w:rPr>
          <w:b/>
          <w:szCs w:val="24"/>
          <w:lang w:eastAsia="lt-LT"/>
        </w:rPr>
        <w:t xml:space="preserve">               </w:t>
      </w:r>
    </w:p>
    <w:p w14:paraId="0EA3B2BB" w14:textId="77777777" w:rsidR="00814B7B" w:rsidRDefault="00000000">
      <w:pPr>
        <w:jc w:val="center"/>
        <w:rPr>
          <w:b/>
          <w:spacing w:val="6"/>
          <w:szCs w:val="24"/>
          <w:lang w:eastAsia="lt-LT"/>
        </w:rPr>
      </w:pPr>
      <w:r>
        <w:rPr>
          <w:b/>
          <w:spacing w:val="6"/>
          <w:szCs w:val="24"/>
          <w:lang w:eastAsia="lt-LT"/>
        </w:rPr>
        <w:t>AIŠKINAMASIS RAŠTAS</w:t>
      </w:r>
    </w:p>
    <w:p w14:paraId="390C68CE" w14:textId="77777777" w:rsidR="00814B7B" w:rsidRDefault="00000000">
      <w:pPr>
        <w:spacing w:line="276" w:lineRule="auto"/>
        <w:contextualSpacing/>
        <w:jc w:val="center"/>
        <w:rPr>
          <w:rFonts w:eastAsia="Calibri"/>
          <w:b/>
          <w:bCs/>
          <w:szCs w:val="24"/>
          <w:lang w:eastAsia="lt-LT"/>
        </w:rPr>
      </w:pPr>
      <w:r>
        <w:rPr>
          <w:b/>
          <w:szCs w:val="24"/>
          <w:lang w:eastAsia="lt-LT"/>
        </w:rPr>
        <w:t>DĖL KĖDAINIŲ RAJONO SAVIVALDYBĖS TARYBOS 2026 M. VASARIO 20 D. SPRENDIMO NR. TS-36 „</w:t>
      </w:r>
      <w:r>
        <w:rPr>
          <w:rFonts w:eastAsia="Calibri"/>
          <w:b/>
          <w:bCs/>
          <w:szCs w:val="24"/>
          <w:lang w:eastAsia="lt-LT"/>
        </w:rPr>
        <w:t xml:space="preserve">DĖL KĖDAINIŲ RAJONO SAVIVALDYBĖS </w:t>
      </w:r>
    </w:p>
    <w:p w14:paraId="2C1D7B82" w14:textId="77777777" w:rsidR="00814B7B" w:rsidRDefault="00000000">
      <w:pPr>
        <w:jc w:val="center"/>
        <w:rPr>
          <w:b/>
          <w:szCs w:val="24"/>
          <w:lang w:eastAsia="lt-LT"/>
        </w:rPr>
      </w:pPr>
      <w:r>
        <w:rPr>
          <w:rFonts w:eastAsia="Calibri"/>
          <w:b/>
          <w:bCs/>
          <w:szCs w:val="24"/>
          <w:lang w:eastAsia="lt-LT"/>
        </w:rPr>
        <w:t>2026–2028  METŲ BIUDŽETO PATVIRTINIMO</w:t>
      </w:r>
      <w:r>
        <w:rPr>
          <w:b/>
          <w:szCs w:val="24"/>
          <w:lang w:eastAsia="lt-LT"/>
        </w:rPr>
        <w:t>“  PAKEITIMO</w:t>
      </w:r>
    </w:p>
    <w:p w14:paraId="0217E772" w14:textId="77777777" w:rsidR="00814B7B" w:rsidRDefault="00814B7B">
      <w:pPr>
        <w:jc w:val="center"/>
        <w:rPr>
          <w:b/>
          <w:szCs w:val="24"/>
          <w:lang w:eastAsia="lt-LT"/>
        </w:rPr>
      </w:pPr>
      <w:bookmarkStart w:id="11" w:name="_Hlk213942821"/>
      <w:bookmarkEnd w:id="11"/>
    </w:p>
    <w:p w14:paraId="6A16C33F" w14:textId="77777777" w:rsidR="00814B7B" w:rsidRDefault="00000000">
      <w:pPr>
        <w:jc w:val="center"/>
        <w:rPr>
          <w:spacing w:val="6"/>
          <w:szCs w:val="24"/>
          <w:lang w:eastAsia="lt-LT"/>
        </w:rPr>
      </w:pPr>
      <w:r>
        <w:rPr>
          <w:spacing w:val="6"/>
          <w:szCs w:val="24"/>
          <w:lang w:eastAsia="lt-LT"/>
        </w:rPr>
        <w:t>2026 m. balandžio 9 d.</w:t>
      </w:r>
    </w:p>
    <w:p w14:paraId="064D48FF" w14:textId="77777777" w:rsidR="00814B7B" w:rsidRDefault="00000000">
      <w:pPr>
        <w:jc w:val="center"/>
        <w:rPr>
          <w:spacing w:val="6"/>
          <w:szCs w:val="24"/>
          <w:lang w:eastAsia="lt-LT"/>
        </w:rPr>
      </w:pPr>
      <w:r>
        <w:rPr>
          <w:spacing w:val="6"/>
          <w:szCs w:val="24"/>
          <w:lang w:eastAsia="lt-LT"/>
        </w:rPr>
        <w:t>Kėdainiai</w:t>
      </w:r>
    </w:p>
    <w:p w14:paraId="5DF6017A" w14:textId="77777777" w:rsidR="00814B7B" w:rsidRDefault="00814B7B">
      <w:pPr>
        <w:jc w:val="center"/>
        <w:rPr>
          <w:spacing w:val="6"/>
          <w:szCs w:val="24"/>
          <w:lang w:eastAsia="lt-LT"/>
        </w:rPr>
      </w:pPr>
    </w:p>
    <w:p w14:paraId="41A390EB" w14:textId="77777777" w:rsidR="00814B7B" w:rsidRDefault="00000000">
      <w:pPr>
        <w:spacing w:line="276" w:lineRule="auto"/>
        <w:ind w:firstLine="1296"/>
        <w:jc w:val="both"/>
      </w:pPr>
      <w:r>
        <w:rPr>
          <w:b/>
          <w:spacing w:val="6"/>
          <w:szCs w:val="24"/>
          <w:lang w:eastAsia="lt-LT"/>
        </w:rPr>
        <w:t>Parengto sprendimo projekto tikslai</w:t>
      </w:r>
      <w:r>
        <w:rPr>
          <w:spacing w:val="6"/>
          <w:szCs w:val="24"/>
          <w:lang w:eastAsia="lt-LT"/>
        </w:rPr>
        <w:t>: Patikslinti Kėdainių rajono savivaldybės 2026 metų biudžetą, atsižvelgiant į gautą valstybės dotaciją, skirtą Savivaldybės švietimo įstaigų pedagogų, išlaikomų iš Savivaldybės biudžeto lėšų (išskyrus valstybės biudžeto dotacijas), padidintam darbo užmokesčiui 2026 metais mokėti, taip pat profesinio orientavimo veikloms finansuoti.</w:t>
      </w:r>
    </w:p>
    <w:p w14:paraId="3AFB5AEB" w14:textId="77777777" w:rsidR="00814B7B" w:rsidRDefault="00000000">
      <w:pPr>
        <w:spacing w:line="276" w:lineRule="auto"/>
        <w:ind w:firstLine="1296"/>
        <w:jc w:val="both"/>
      </w:pPr>
      <w:r>
        <w:rPr>
          <w:b/>
          <w:spacing w:val="6"/>
          <w:szCs w:val="24"/>
          <w:lang w:eastAsia="lt-LT"/>
        </w:rPr>
        <w:t xml:space="preserve">Sprendimo projekto esmė: </w:t>
      </w:r>
      <w:r>
        <w:rPr>
          <w:rFonts w:eastAsia="Calibri"/>
          <w:spacing w:val="6"/>
        </w:rPr>
        <w:t xml:space="preserve">Sprendimo projektu siūloma padidinti Savivaldybės 2026 metų biudžeto pajamas ir asignavimus </w:t>
      </w:r>
      <w:r>
        <w:rPr>
          <w:rFonts w:eastAsia="Calibri"/>
          <w:b/>
          <w:bCs/>
          <w:spacing w:val="6"/>
        </w:rPr>
        <w:t>764,2 tūkst. Eur</w:t>
      </w:r>
      <w:r>
        <w:rPr>
          <w:rFonts w:eastAsia="Calibri"/>
          <w:spacing w:val="6"/>
        </w:rPr>
        <w:t>, iš jų:</w:t>
      </w:r>
    </w:p>
    <w:p w14:paraId="57DBB127" w14:textId="77777777" w:rsidR="00814B7B" w:rsidRDefault="00000000">
      <w:pPr>
        <w:numPr>
          <w:ilvl w:val="0"/>
          <w:numId w:val="1"/>
        </w:numPr>
        <w:spacing w:line="276" w:lineRule="auto"/>
        <w:jc w:val="both"/>
      </w:pPr>
      <w:r>
        <w:rPr>
          <w:rFonts w:eastAsia="Calibri"/>
          <w:spacing w:val="6"/>
          <w:szCs w:val="24"/>
        </w:rPr>
        <w:t>602,0 tūkst. Eur – Savivaldybės švietimo įstaigų pedagogų, finansuojamų iš Savivaldybės biudžeto lėšų (išskyrus valstybės biudžeto dotacijas), darbo užmokesčiui padidinti;</w:t>
      </w:r>
    </w:p>
    <w:p w14:paraId="2227FF75" w14:textId="77777777" w:rsidR="00814B7B" w:rsidRDefault="00000000">
      <w:pPr>
        <w:numPr>
          <w:ilvl w:val="0"/>
          <w:numId w:val="1"/>
        </w:numPr>
        <w:spacing w:line="276" w:lineRule="auto"/>
        <w:jc w:val="both"/>
        <w:rPr>
          <w:rFonts w:eastAsia="Calibri"/>
          <w:spacing w:val="6"/>
          <w:szCs w:val="24"/>
        </w:rPr>
      </w:pPr>
      <w:r>
        <w:rPr>
          <w:rFonts w:eastAsia="Calibri"/>
          <w:spacing w:val="6"/>
          <w:szCs w:val="24"/>
        </w:rPr>
        <w:t>162,2 tūkst. Eur – profesinio orientavimo veikloms vykdyti.</w:t>
      </w:r>
    </w:p>
    <w:p w14:paraId="7380009F" w14:textId="77777777" w:rsidR="00814B7B" w:rsidRDefault="00000000">
      <w:pPr>
        <w:spacing w:line="276" w:lineRule="auto"/>
        <w:ind w:firstLine="1296"/>
        <w:jc w:val="both"/>
        <w:rPr>
          <w:rFonts w:eastAsia="Calibri"/>
          <w:spacing w:val="6"/>
          <w:szCs w:val="24"/>
        </w:rPr>
      </w:pPr>
      <w:r>
        <w:rPr>
          <w:rFonts w:eastAsia="Calibri"/>
          <w:spacing w:val="6"/>
          <w:szCs w:val="24"/>
        </w:rPr>
        <w:t>Gautos dotacijos lėšos bus naudojamos tik pagal paskirtį ir įtrauktos į Savivaldybės biudžeto asignavimus 01 programos „Aktyvios visuomenės ugdymas“  asignavimų valdytojams (švietimo įstaigoms).</w:t>
      </w:r>
    </w:p>
    <w:p w14:paraId="10A4BACB" w14:textId="77777777" w:rsidR="00814B7B" w:rsidRDefault="00000000">
      <w:pPr>
        <w:spacing w:line="276" w:lineRule="auto"/>
        <w:ind w:firstLine="1296"/>
        <w:jc w:val="both"/>
        <w:rPr>
          <w:rFonts w:eastAsia="Calibri"/>
          <w:spacing w:val="6"/>
          <w:szCs w:val="24"/>
        </w:rPr>
      </w:pPr>
      <w:r>
        <w:rPr>
          <w:rFonts w:eastAsia="Calibri"/>
          <w:spacing w:val="6"/>
          <w:szCs w:val="24"/>
        </w:rPr>
        <w:t>Savivaldybės švietimo įstaigų pedagogams, finansuojamiems iš Savivaldybės biudžeto lėšų darbo užmokesčio padidinimui 2026 metams – lėšos buvo apskaičiuotos ir skirtos iš Savivaldybės savarankiškoms funkcijoms vykdymui skirtų lėšų. Gavus lėšas iš valstybės biudžeto, tikslinami asignavimai nekeičiant bendros asignavimų sumos savarankiškoms funkcijoms vykdyti, t. y. mažinami asignavimai švietimo įstaigoms ir skiriama: Savivaldybės administracijai 217,7 tūkst. Eur (120,0 tūkst. Eur maitinimo savarankiškai organizavimui Senamiesčio progimnazijoje ir 97,7 tūkst. Eur inžinerinių paslaugų, darbų ir įrenginių finansavimui); Miesto seniūnijai 138,0 tūkst. Eur (miesto autobusų stotelių švieslentėms įsigyti); Dotnuvos seniūnijai 35,0 tūkst. Eur (traktoriui įsigyti).</w:t>
      </w:r>
    </w:p>
    <w:p w14:paraId="1A9EA7EF" w14:textId="77777777" w:rsidR="00814B7B" w:rsidRDefault="00000000">
      <w:pPr>
        <w:spacing w:line="276" w:lineRule="auto"/>
        <w:ind w:firstLine="1296"/>
        <w:jc w:val="both"/>
      </w:pPr>
      <w:r>
        <w:rPr>
          <w:b/>
          <w:szCs w:val="24"/>
          <w:lang w:eastAsia="lt-LT"/>
        </w:rPr>
        <w:t>Lėšų poreikis (jeigu sprendimui įgyvendinti reikalingos lėšos):</w:t>
      </w:r>
      <w:r>
        <w:rPr>
          <w:szCs w:val="24"/>
          <w:lang w:eastAsia="lt-LT"/>
        </w:rPr>
        <w:t xml:space="preserve"> Papildomų savivaldybės biudžeto lėšų sprendimui įgyvendinti nereikės, nes biudžeto pajamos ir asignavimai didinami gautos valstybės dotacijos lėšomis.</w:t>
      </w:r>
    </w:p>
    <w:p w14:paraId="539D396A" w14:textId="77777777" w:rsidR="00814B7B" w:rsidRDefault="00000000">
      <w:pPr>
        <w:spacing w:line="276" w:lineRule="auto"/>
        <w:ind w:firstLine="1296"/>
        <w:jc w:val="both"/>
        <w:rPr>
          <w:rFonts w:eastAsia="Calibri"/>
          <w:spacing w:val="6"/>
          <w:szCs w:val="24"/>
        </w:rPr>
      </w:pPr>
      <w:r>
        <w:rPr>
          <w:b/>
          <w:szCs w:val="24"/>
          <w:lang w:eastAsia="lt-LT"/>
        </w:rPr>
        <w:t xml:space="preserve">Laukiami rezultatai: </w:t>
      </w:r>
      <w:r>
        <w:rPr>
          <w:bCs/>
          <w:szCs w:val="24"/>
          <w:lang w:eastAsia="lt-LT"/>
        </w:rPr>
        <w:t xml:space="preserve">Tinkamas tikslinės paskirties lėšų paskirstymas </w:t>
      </w:r>
      <w:r>
        <w:rPr>
          <w:rFonts w:eastAsia="Calibri"/>
          <w:spacing w:val="6"/>
          <w:szCs w:val="24"/>
        </w:rPr>
        <w:t xml:space="preserve">socialinei aplinkai ir švietimo paslaugų kokybei. </w:t>
      </w:r>
    </w:p>
    <w:p w14:paraId="51B07D2F" w14:textId="77777777" w:rsidR="00814B7B" w:rsidRDefault="00000000">
      <w:pPr>
        <w:spacing w:line="276" w:lineRule="auto"/>
        <w:ind w:firstLine="1296"/>
        <w:jc w:val="both"/>
        <w:rPr>
          <w:b/>
          <w:bCs/>
          <w:szCs w:val="24"/>
          <w:lang w:eastAsia="lt-LT"/>
        </w:rPr>
      </w:pPr>
      <w:r>
        <w:rPr>
          <w:b/>
          <w:bCs/>
          <w:szCs w:val="24"/>
          <w:lang w:eastAsia="lt-LT"/>
        </w:rPr>
        <w:t>Numatomo teisinio reguliavimo poveikio vertinimas*</w:t>
      </w:r>
    </w:p>
    <w:tbl>
      <w:tblPr>
        <w:tblW w:w="8930" w:type="dxa"/>
        <w:tblInd w:w="279" w:type="dxa"/>
        <w:tblLayout w:type="fixed"/>
        <w:tblLook w:val="0000" w:firstRow="0" w:lastRow="0" w:firstColumn="0" w:lastColumn="0" w:noHBand="0" w:noVBand="0"/>
      </w:tblPr>
      <w:tblGrid>
        <w:gridCol w:w="3118"/>
        <w:gridCol w:w="2977"/>
        <w:gridCol w:w="2835"/>
      </w:tblGrid>
      <w:tr w:rsidR="00814B7B" w14:paraId="68A17A73"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7ABF6091" w14:textId="77777777" w:rsidR="00814B7B" w:rsidRDefault="00000000">
            <w:pPr>
              <w:rPr>
                <w:b/>
                <w:szCs w:val="24"/>
                <w:lang w:bidi="lo-LA"/>
              </w:rPr>
            </w:pPr>
            <w:r>
              <w:rPr>
                <w:b/>
                <w:szCs w:val="24"/>
                <w:lang w:eastAsia="lt-LT"/>
              </w:rPr>
              <w:t>Sritys</w:t>
            </w:r>
          </w:p>
        </w:tc>
        <w:tc>
          <w:tcPr>
            <w:tcW w:w="5812" w:type="dxa"/>
            <w:gridSpan w:val="2"/>
            <w:tcBorders>
              <w:top w:val="single" w:sz="4" w:space="0" w:color="000000"/>
              <w:left w:val="single" w:sz="4" w:space="0" w:color="000000"/>
              <w:bottom w:val="single" w:sz="4" w:space="0" w:color="000000"/>
              <w:right w:val="single" w:sz="4" w:space="0" w:color="000000"/>
            </w:tcBorders>
          </w:tcPr>
          <w:p w14:paraId="1AE89B7B" w14:textId="77777777" w:rsidR="00814B7B" w:rsidRDefault="00000000">
            <w:r>
              <w:rPr>
                <w:b/>
                <w:bCs/>
                <w:szCs w:val="24"/>
                <w:lang w:eastAsia="lt-LT"/>
              </w:rPr>
              <w:t>Numatomo teisinio reguliavimo poveikio vertinimo rezultatai</w:t>
            </w:r>
          </w:p>
        </w:tc>
      </w:tr>
      <w:tr w:rsidR="00814B7B" w14:paraId="2E523C5D" w14:textId="77777777">
        <w:trPr>
          <w:trHeight w:val="540"/>
        </w:trPr>
        <w:tc>
          <w:tcPr>
            <w:tcW w:w="3118" w:type="dxa"/>
            <w:vMerge/>
            <w:tcBorders>
              <w:top w:val="single" w:sz="4" w:space="0" w:color="000000"/>
              <w:left w:val="single" w:sz="4" w:space="0" w:color="000000"/>
              <w:bottom w:val="single" w:sz="4" w:space="0" w:color="000000"/>
              <w:right w:val="single" w:sz="4" w:space="0" w:color="000000"/>
            </w:tcBorders>
          </w:tcPr>
          <w:p w14:paraId="15E37388" w14:textId="77777777" w:rsidR="00814B7B" w:rsidRDefault="00814B7B">
            <w:pPr>
              <w:snapToGrid w:val="0"/>
              <w:rPr>
                <w:b/>
                <w:bCs/>
                <w:szCs w:val="24"/>
                <w:lang w:eastAsia="lt-LT" w:bidi="lo-LA"/>
              </w:rPr>
            </w:pPr>
          </w:p>
        </w:tc>
        <w:tc>
          <w:tcPr>
            <w:tcW w:w="2977" w:type="dxa"/>
            <w:tcBorders>
              <w:top w:val="single" w:sz="4" w:space="0" w:color="000000"/>
              <w:left w:val="single" w:sz="4" w:space="0" w:color="000000"/>
              <w:bottom w:val="single" w:sz="4" w:space="0" w:color="000000"/>
              <w:right w:val="single" w:sz="4" w:space="0" w:color="000000"/>
            </w:tcBorders>
          </w:tcPr>
          <w:p w14:paraId="51D3F582" w14:textId="77777777" w:rsidR="00814B7B" w:rsidRDefault="00000000">
            <w:pPr>
              <w:rPr>
                <w:b/>
                <w:szCs w:val="24"/>
                <w:lang w:eastAsia="lt-LT"/>
              </w:rPr>
            </w:pPr>
            <w:r>
              <w:rPr>
                <w:b/>
                <w:szCs w:val="24"/>
                <w:lang w:eastAsia="lt-LT"/>
              </w:rPr>
              <w:t>Teigiamas poveikis</w:t>
            </w:r>
          </w:p>
        </w:tc>
        <w:tc>
          <w:tcPr>
            <w:tcW w:w="2835" w:type="dxa"/>
            <w:tcBorders>
              <w:top w:val="single" w:sz="4" w:space="0" w:color="000000"/>
              <w:left w:val="single" w:sz="4" w:space="0" w:color="000000"/>
              <w:bottom w:val="single" w:sz="4" w:space="0" w:color="000000"/>
              <w:right w:val="single" w:sz="4" w:space="0" w:color="000000"/>
            </w:tcBorders>
          </w:tcPr>
          <w:p w14:paraId="4B7E528B" w14:textId="77777777" w:rsidR="00814B7B" w:rsidRDefault="00000000">
            <w:pPr>
              <w:rPr>
                <w:rFonts w:eastAsia="Calibri"/>
                <w:b/>
                <w:szCs w:val="24"/>
                <w:lang w:bidi="lo-LA"/>
              </w:rPr>
            </w:pPr>
            <w:r>
              <w:rPr>
                <w:b/>
                <w:szCs w:val="24"/>
                <w:lang w:eastAsia="lt-LT"/>
              </w:rPr>
              <w:t>Neigiamas poveikis</w:t>
            </w:r>
          </w:p>
          <w:p w14:paraId="483181ED" w14:textId="77777777" w:rsidR="00814B7B" w:rsidRDefault="00814B7B">
            <w:pPr>
              <w:rPr>
                <w:rFonts w:eastAsia="Calibri"/>
                <w:b/>
                <w:i/>
                <w:szCs w:val="24"/>
                <w:lang w:eastAsia="lt-LT" w:bidi="lo-LA"/>
              </w:rPr>
            </w:pPr>
          </w:p>
        </w:tc>
      </w:tr>
      <w:tr w:rsidR="00814B7B" w14:paraId="5B1CF8A5" w14:textId="77777777">
        <w:tc>
          <w:tcPr>
            <w:tcW w:w="3118" w:type="dxa"/>
            <w:tcBorders>
              <w:top w:val="single" w:sz="4" w:space="0" w:color="000000"/>
              <w:left w:val="single" w:sz="4" w:space="0" w:color="000000"/>
              <w:bottom w:val="single" w:sz="4" w:space="0" w:color="000000"/>
              <w:right w:val="single" w:sz="4" w:space="0" w:color="000000"/>
            </w:tcBorders>
          </w:tcPr>
          <w:p w14:paraId="23E27867" w14:textId="77777777" w:rsidR="00814B7B" w:rsidRDefault="00000000">
            <w:pPr>
              <w:rPr>
                <w:i/>
                <w:szCs w:val="24"/>
                <w:lang w:bidi="lo-LA"/>
              </w:rPr>
            </w:pPr>
            <w:r>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4231DF3C" w14:textId="77777777" w:rsidR="00814B7B" w:rsidRDefault="00814B7B">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E4DD625" w14:textId="77777777" w:rsidR="00814B7B" w:rsidRDefault="00814B7B">
            <w:pPr>
              <w:snapToGrid w:val="0"/>
              <w:rPr>
                <w:i/>
                <w:szCs w:val="24"/>
                <w:lang w:bidi="lo-LA"/>
              </w:rPr>
            </w:pPr>
          </w:p>
        </w:tc>
      </w:tr>
      <w:tr w:rsidR="00814B7B" w14:paraId="4DD16F05" w14:textId="77777777">
        <w:tc>
          <w:tcPr>
            <w:tcW w:w="3118" w:type="dxa"/>
            <w:tcBorders>
              <w:top w:val="single" w:sz="4" w:space="0" w:color="000000"/>
              <w:left w:val="single" w:sz="4" w:space="0" w:color="000000"/>
              <w:bottom w:val="single" w:sz="4" w:space="0" w:color="000000"/>
              <w:right w:val="single" w:sz="4" w:space="0" w:color="000000"/>
            </w:tcBorders>
          </w:tcPr>
          <w:p w14:paraId="017BBC6B" w14:textId="77777777" w:rsidR="00814B7B" w:rsidRDefault="00000000">
            <w:pPr>
              <w:rPr>
                <w:i/>
                <w:szCs w:val="24"/>
                <w:lang w:bidi="lo-LA"/>
              </w:rPr>
            </w:pPr>
            <w:r>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2F80C9F" w14:textId="77777777" w:rsidR="00814B7B" w:rsidRDefault="00000000">
            <w:r>
              <w:rPr>
                <w:i/>
                <w:szCs w:val="24"/>
                <w:lang w:bidi="lo-LA"/>
              </w:rPr>
              <w:t>Pajamos didėja 764,2 tūkst. Eur</w:t>
            </w:r>
          </w:p>
        </w:tc>
        <w:tc>
          <w:tcPr>
            <w:tcW w:w="2835" w:type="dxa"/>
            <w:tcBorders>
              <w:top w:val="single" w:sz="4" w:space="0" w:color="000000"/>
              <w:left w:val="single" w:sz="4" w:space="0" w:color="000000"/>
              <w:bottom w:val="single" w:sz="4" w:space="0" w:color="000000"/>
              <w:right w:val="single" w:sz="4" w:space="0" w:color="000000"/>
            </w:tcBorders>
          </w:tcPr>
          <w:p w14:paraId="0108E8A3" w14:textId="77777777" w:rsidR="00814B7B" w:rsidRDefault="00814B7B">
            <w:pPr>
              <w:snapToGrid w:val="0"/>
              <w:rPr>
                <w:i/>
                <w:szCs w:val="24"/>
                <w:lang w:bidi="lo-LA"/>
              </w:rPr>
            </w:pPr>
          </w:p>
        </w:tc>
      </w:tr>
      <w:tr w:rsidR="00814B7B" w14:paraId="062B3A19" w14:textId="77777777">
        <w:tc>
          <w:tcPr>
            <w:tcW w:w="3118" w:type="dxa"/>
            <w:tcBorders>
              <w:top w:val="single" w:sz="4" w:space="0" w:color="000000"/>
              <w:left w:val="single" w:sz="4" w:space="0" w:color="000000"/>
              <w:bottom w:val="single" w:sz="4" w:space="0" w:color="000000"/>
              <w:right w:val="single" w:sz="4" w:space="0" w:color="000000"/>
            </w:tcBorders>
          </w:tcPr>
          <w:p w14:paraId="769CEE0C" w14:textId="77777777" w:rsidR="00814B7B" w:rsidRDefault="00000000">
            <w:pPr>
              <w:rPr>
                <w:i/>
                <w:szCs w:val="24"/>
                <w:lang w:bidi="lo-LA"/>
              </w:rPr>
            </w:pPr>
            <w:r>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D6538D1" w14:textId="77777777" w:rsidR="00814B7B" w:rsidRDefault="00814B7B">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F41B0DF" w14:textId="77777777" w:rsidR="00814B7B" w:rsidRDefault="00814B7B">
            <w:pPr>
              <w:snapToGrid w:val="0"/>
              <w:rPr>
                <w:i/>
                <w:szCs w:val="24"/>
                <w:lang w:bidi="lo-LA"/>
              </w:rPr>
            </w:pPr>
          </w:p>
        </w:tc>
      </w:tr>
      <w:tr w:rsidR="00814B7B" w14:paraId="54190EA7" w14:textId="77777777">
        <w:tc>
          <w:tcPr>
            <w:tcW w:w="3118" w:type="dxa"/>
            <w:tcBorders>
              <w:top w:val="single" w:sz="4" w:space="0" w:color="000000"/>
              <w:left w:val="single" w:sz="4" w:space="0" w:color="000000"/>
              <w:bottom w:val="single" w:sz="4" w:space="0" w:color="000000"/>
              <w:right w:val="single" w:sz="4" w:space="0" w:color="000000"/>
            </w:tcBorders>
          </w:tcPr>
          <w:p w14:paraId="436097D1" w14:textId="77777777" w:rsidR="00814B7B" w:rsidRDefault="00000000">
            <w:pPr>
              <w:rPr>
                <w:i/>
                <w:szCs w:val="24"/>
                <w:lang w:bidi="lo-LA"/>
              </w:rPr>
            </w:pPr>
            <w:r>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BACF262" w14:textId="77777777" w:rsidR="00814B7B" w:rsidRDefault="00814B7B">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4DB820D" w14:textId="77777777" w:rsidR="00814B7B" w:rsidRDefault="00814B7B">
            <w:pPr>
              <w:snapToGrid w:val="0"/>
              <w:rPr>
                <w:i/>
                <w:szCs w:val="24"/>
                <w:lang w:bidi="lo-LA"/>
              </w:rPr>
            </w:pPr>
          </w:p>
        </w:tc>
      </w:tr>
      <w:tr w:rsidR="00814B7B" w14:paraId="4041761D" w14:textId="77777777">
        <w:tc>
          <w:tcPr>
            <w:tcW w:w="3118" w:type="dxa"/>
            <w:tcBorders>
              <w:top w:val="single" w:sz="4" w:space="0" w:color="000000"/>
              <w:left w:val="single" w:sz="4" w:space="0" w:color="000000"/>
              <w:bottom w:val="single" w:sz="4" w:space="0" w:color="000000"/>
              <w:right w:val="single" w:sz="4" w:space="0" w:color="000000"/>
            </w:tcBorders>
          </w:tcPr>
          <w:p w14:paraId="60540604" w14:textId="77777777" w:rsidR="00814B7B" w:rsidRDefault="00000000">
            <w:pPr>
              <w:rPr>
                <w:i/>
                <w:szCs w:val="24"/>
                <w:lang w:bidi="lo-LA"/>
              </w:rPr>
            </w:pPr>
            <w:r>
              <w:rPr>
                <w:i/>
                <w:szCs w:val="24"/>
                <w:lang w:eastAsia="lt-LT"/>
              </w:rPr>
              <w:lastRenderedPageBreak/>
              <w:t>Teisinei sistemai</w:t>
            </w:r>
          </w:p>
        </w:tc>
        <w:tc>
          <w:tcPr>
            <w:tcW w:w="2977" w:type="dxa"/>
            <w:tcBorders>
              <w:top w:val="single" w:sz="4" w:space="0" w:color="000000"/>
              <w:left w:val="single" w:sz="4" w:space="0" w:color="000000"/>
              <w:bottom w:val="single" w:sz="4" w:space="0" w:color="000000"/>
              <w:right w:val="single" w:sz="4" w:space="0" w:color="000000"/>
            </w:tcBorders>
          </w:tcPr>
          <w:p w14:paraId="1277B022" w14:textId="77777777" w:rsidR="00814B7B" w:rsidRDefault="00814B7B">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4ACB250" w14:textId="77777777" w:rsidR="00814B7B" w:rsidRDefault="00814B7B">
            <w:pPr>
              <w:snapToGrid w:val="0"/>
              <w:rPr>
                <w:i/>
                <w:szCs w:val="24"/>
                <w:lang w:bidi="lo-LA"/>
              </w:rPr>
            </w:pPr>
          </w:p>
        </w:tc>
      </w:tr>
      <w:tr w:rsidR="00814B7B" w14:paraId="6E925726" w14:textId="77777777">
        <w:tc>
          <w:tcPr>
            <w:tcW w:w="3118" w:type="dxa"/>
            <w:tcBorders>
              <w:top w:val="single" w:sz="4" w:space="0" w:color="000000"/>
              <w:left w:val="single" w:sz="4" w:space="0" w:color="000000"/>
              <w:bottom w:val="single" w:sz="4" w:space="0" w:color="000000"/>
              <w:right w:val="single" w:sz="4" w:space="0" w:color="000000"/>
            </w:tcBorders>
          </w:tcPr>
          <w:p w14:paraId="2A5D0237" w14:textId="77777777" w:rsidR="00814B7B" w:rsidRDefault="00000000">
            <w:pPr>
              <w:rPr>
                <w:i/>
                <w:szCs w:val="24"/>
                <w:lang w:bidi="lo-LA"/>
              </w:rPr>
            </w:pPr>
            <w:r>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D2ABCFD" w14:textId="77777777" w:rsidR="00814B7B" w:rsidRDefault="00814B7B">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BA11AE9" w14:textId="77777777" w:rsidR="00814B7B" w:rsidRDefault="00814B7B">
            <w:pPr>
              <w:snapToGrid w:val="0"/>
              <w:rPr>
                <w:i/>
                <w:szCs w:val="24"/>
                <w:lang w:bidi="lo-LA"/>
              </w:rPr>
            </w:pPr>
          </w:p>
        </w:tc>
      </w:tr>
      <w:tr w:rsidR="00814B7B" w14:paraId="22A314DB" w14:textId="77777777">
        <w:tc>
          <w:tcPr>
            <w:tcW w:w="3118" w:type="dxa"/>
            <w:tcBorders>
              <w:top w:val="single" w:sz="4" w:space="0" w:color="000000"/>
              <w:left w:val="single" w:sz="4" w:space="0" w:color="000000"/>
              <w:bottom w:val="single" w:sz="4" w:space="0" w:color="000000"/>
              <w:right w:val="single" w:sz="4" w:space="0" w:color="000000"/>
            </w:tcBorders>
          </w:tcPr>
          <w:p w14:paraId="7F264C67" w14:textId="77777777" w:rsidR="00814B7B" w:rsidRDefault="00000000">
            <w:pPr>
              <w:rPr>
                <w:i/>
                <w:szCs w:val="24"/>
                <w:lang w:bidi="lo-LA"/>
              </w:rPr>
            </w:pPr>
            <w:r>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7B4E1881" w14:textId="77777777" w:rsidR="00814B7B" w:rsidRDefault="00814B7B">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E0F0E43" w14:textId="77777777" w:rsidR="00814B7B" w:rsidRDefault="00814B7B">
            <w:pPr>
              <w:snapToGrid w:val="0"/>
              <w:rPr>
                <w:i/>
                <w:szCs w:val="24"/>
                <w:lang w:bidi="lo-LA"/>
              </w:rPr>
            </w:pPr>
          </w:p>
        </w:tc>
      </w:tr>
      <w:tr w:rsidR="00814B7B" w14:paraId="61C2DFD1" w14:textId="77777777">
        <w:tc>
          <w:tcPr>
            <w:tcW w:w="3118" w:type="dxa"/>
            <w:tcBorders>
              <w:top w:val="single" w:sz="4" w:space="0" w:color="000000"/>
              <w:left w:val="single" w:sz="4" w:space="0" w:color="000000"/>
              <w:bottom w:val="single" w:sz="4" w:space="0" w:color="000000"/>
              <w:right w:val="single" w:sz="4" w:space="0" w:color="000000"/>
            </w:tcBorders>
          </w:tcPr>
          <w:p w14:paraId="6563DA6A" w14:textId="77777777" w:rsidR="00814B7B" w:rsidRDefault="00000000">
            <w:pPr>
              <w:rPr>
                <w:i/>
                <w:szCs w:val="24"/>
                <w:lang w:bidi="lo-LA"/>
              </w:rPr>
            </w:pPr>
            <w:r>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2BF11F0" w14:textId="77777777" w:rsidR="00814B7B" w:rsidRDefault="00814B7B">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7200093" w14:textId="77777777" w:rsidR="00814B7B" w:rsidRDefault="00814B7B">
            <w:pPr>
              <w:snapToGrid w:val="0"/>
              <w:rPr>
                <w:i/>
                <w:szCs w:val="24"/>
                <w:lang w:bidi="lo-LA"/>
              </w:rPr>
            </w:pPr>
          </w:p>
        </w:tc>
      </w:tr>
      <w:tr w:rsidR="00814B7B" w14:paraId="71DE284D" w14:textId="77777777">
        <w:tc>
          <w:tcPr>
            <w:tcW w:w="3118" w:type="dxa"/>
            <w:tcBorders>
              <w:top w:val="single" w:sz="4" w:space="0" w:color="000000"/>
              <w:left w:val="single" w:sz="4" w:space="0" w:color="000000"/>
              <w:bottom w:val="single" w:sz="4" w:space="0" w:color="000000"/>
              <w:right w:val="single" w:sz="4" w:space="0" w:color="000000"/>
            </w:tcBorders>
          </w:tcPr>
          <w:p w14:paraId="0C113BA8" w14:textId="77777777" w:rsidR="00814B7B" w:rsidRDefault="00000000">
            <w:pPr>
              <w:rPr>
                <w:i/>
                <w:szCs w:val="24"/>
                <w:lang w:bidi="lo-LA"/>
              </w:rPr>
            </w:pPr>
            <w:r>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C2A50A2" w14:textId="77777777" w:rsidR="00814B7B" w:rsidRDefault="00814B7B">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E641DF5" w14:textId="77777777" w:rsidR="00814B7B" w:rsidRDefault="00814B7B">
            <w:pPr>
              <w:snapToGrid w:val="0"/>
              <w:rPr>
                <w:i/>
                <w:szCs w:val="24"/>
                <w:lang w:bidi="lo-LA"/>
              </w:rPr>
            </w:pPr>
          </w:p>
        </w:tc>
      </w:tr>
      <w:tr w:rsidR="00814B7B" w14:paraId="4798F805" w14:textId="77777777">
        <w:tc>
          <w:tcPr>
            <w:tcW w:w="3118" w:type="dxa"/>
            <w:tcBorders>
              <w:top w:val="single" w:sz="4" w:space="0" w:color="000000"/>
              <w:left w:val="single" w:sz="4" w:space="0" w:color="000000"/>
              <w:bottom w:val="single" w:sz="4" w:space="0" w:color="000000"/>
              <w:right w:val="single" w:sz="4" w:space="0" w:color="000000"/>
            </w:tcBorders>
          </w:tcPr>
          <w:p w14:paraId="72BD0C2E" w14:textId="77777777" w:rsidR="00814B7B" w:rsidRDefault="00000000">
            <w:pPr>
              <w:rPr>
                <w:i/>
                <w:szCs w:val="24"/>
                <w:lang w:bidi="lo-LA"/>
              </w:rPr>
            </w:pPr>
            <w:r>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9892470" w14:textId="77777777" w:rsidR="00814B7B" w:rsidRDefault="00814B7B">
            <w:pPr>
              <w:snapToGrid w:val="0"/>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D47D3E5" w14:textId="77777777" w:rsidR="00814B7B" w:rsidRDefault="00814B7B">
            <w:pPr>
              <w:snapToGrid w:val="0"/>
              <w:rPr>
                <w:i/>
                <w:szCs w:val="24"/>
                <w:lang w:bidi="lo-LA"/>
              </w:rPr>
            </w:pPr>
          </w:p>
        </w:tc>
      </w:tr>
    </w:tbl>
    <w:p w14:paraId="526FAD29" w14:textId="77777777" w:rsidR="00814B7B" w:rsidRDefault="00000000">
      <w:pPr>
        <w:jc w:val="both"/>
        <w:rPr>
          <w:szCs w:val="24"/>
          <w:lang w:eastAsia="lt-LT"/>
        </w:rPr>
      </w:pPr>
      <w:r>
        <w:rPr>
          <w:b/>
          <w:szCs w:val="24"/>
          <w:lang w:bidi="lo-LA"/>
        </w:rPr>
        <w:t>*</w:t>
      </w:r>
      <w:r>
        <w:rPr>
          <w:bCs/>
          <w:szCs w:val="24"/>
          <w:lang w:eastAsia="lt-LT"/>
        </w:rPr>
        <w:t xml:space="preserve"> Numatomo teisinio reguliavimo poveikio vertinimas atliekamas r</w:t>
      </w:r>
      <w:r>
        <w:rPr>
          <w:szCs w:val="24"/>
          <w:lang w:eastAsia="lt-LT"/>
        </w:rPr>
        <w:t>engiant teisės akto, kuriuo numatoma reglamentuoti iki tol nereglamentuotus santykius, taip pat kuriuo iš esmės keičiamas teisinis reguliavimas, projektą.</w:t>
      </w:r>
      <w:r>
        <w:rPr>
          <w:szCs w:val="24"/>
          <w:lang w:bidi="lo-LA"/>
        </w:rPr>
        <w:t xml:space="preserve"> </w:t>
      </w:r>
      <w:r>
        <w:rPr>
          <w:szCs w:val="24"/>
          <w:lang w:eastAsia="lt-LT"/>
        </w:rPr>
        <w:t>Atliekant vertinimą, nustatomas galimas teigiamas ir neigiamas poveikis to teisinio reguliavimo sričiai, asmenims ar jų grupėms, kuriems bus taikomas numatomas teisinis reguliavimas</w:t>
      </w:r>
      <w:r>
        <w:rPr>
          <w:sz w:val="22"/>
          <w:szCs w:val="22"/>
          <w:lang w:eastAsia="lt-LT"/>
        </w:rPr>
        <w:t>.</w:t>
      </w:r>
    </w:p>
    <w:p w14:paraId="2152D377" w14:textId="77777777" w:rsidR="00814B7B" w:rsidRDefault="00814B7B">
      <w:pPr>
        <w:spacing w:line="276" w:lineRule="auto"/>
        <w:jc w:val="both"/>
        <w:rPr>
          <w:szCs w:val="24"/>
          <w:lang w:eastAsia="lt-LT"/>
        </w:rPr>
      </w:pPr>
    </w:p>
    <w:p w14:paraId="01874058" w14:textId="77777777" w:rsidR="00814B7B" w:rsidRDefault="00814B7B">
      <w:pPr>
        <w:spacing w:line="276" w:lineRule="auto"/>
        <w:jc w:val="both"/>
        <w:rPr>
          <w:szCs w:val="24"/>
          <w:lang w:eastAsia="lt-LT"/>
        </w:rPr>
      </w:pPr>
    </w:p>
    <w:p w14:paraId="3CBC27B7" w14:textId="77777777" w:rsidR="00814B7B" w:rsidRDefault="00000000">
      <w:pPr>
        <w:spacing w:line="276" w:lineRule="auto"/>
        <w:jc w:val="both"/>
      </w:pPr>
      <w:r>
        <w:rPr>
          <w:szCs w:val="24"/>
          <w:lang w:eastAsia="lt-LT"/>
        </w:rPr>
        <w:t>Biudžeto</w:t>
      </w:r>
      <w:r>
        <w:rPr>
          <w:b/>
          <w:spacing w:val="6"/>
          <w:sz w:val="22"/>
          <w:szCs w:val="22"/>
          <w:lang w:eastAsia="lt-LT"/>
        </w:rPr>
        <w:t xml:space="preserve"> </w:t>
      </w:r>
      <w:r>
        <w:rPr>
          <w:szCs w:val="24"/>
          <w:lang w:eastAsia="lt-LT"/>
        </w:rPr>
        <w:t xml:space="preserve"> ir finansų skyriaus vedėja</w:t>
      </w:r>
      <w:r>
        <w:rPr>
          <w:szCs w:val="24"/>
          <w:lang w:eastAsia="lt-LT"/>
        </w:rPr>
        <w:tab/>
      </w:r>
      <w:r>
        <w:rPr>
          <w:szCs w:val="24"/>
          <w:lang w:eastAsia="lt-LT"/>
        </w:rPr>
        <w:tab/>
      </w:r>
      <w:r>
        <w:rPr>
          <w:szCs w:val="24"/>
          <w:lang w:eastAsia="lt-LT"/>
        </w:rPr>
        <w:tab/>
        <w:t xml:space="preserve">                    Jolanta Sakavičienė</w:t>
      </w:r>
    </w:p>
    <w:sectPr w:rsidR="00814B7B">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E68BA"/>
    <w:multiLevelType w:val="multilevel"/>
    <w:tmpl w:val="049ADF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06250C"/>
    <w:multiLevelType w:val="hybridMultilevel"/>
    <w:tmpl w:val="1A4AF7E0"/>
    <w:lvl w:ilvl="0" w:tplc="A6929D8A">
      <w:start w:val="1"/>
      <w:numFmt w:val="decimal"/>
      <w:suff w:val="space"/>
      <w:lvlText w:val="%1."/>
      <w:lvlJc w:val="left"/>
      <w:pPr>
        <w:ind w:left="0" w:firstLine="851"/>
      </w:pPr>
      <w:rPr>
        <w:rFonts w:hint="default"/>
      </w:rPr>
    </w:lvl>
    <w:lvl w:ilvl="1" w:tplc="04270019" w:tentative="1">
      <w:start w:val="1"/>
      <w:numFmt w:val="lowerLetter"/>
      <w:lvlText w:val="%2."/>
      <w:lvlJc w:val="left"/>
      <w:pPr>
        <w:ind w:left="2641" w:hanging="360"/>
      </w:pPr>
    </w:lvl>
    <w:lvl w:ilvl="2" w:tplc="0427001B" w:tentative="1">
      <w:start w:val="1"/>
      <w:numFmt w:val="lowerRoman"/>
      <w:lvlText w:val="%3."/>
      <w:lvlJc w:val="right"/>
      <w:pPr>
        <w:ind w:left="3361" w:hanging="180"/>
      </w:pPr>
    </w:lvl>
    <w:lvl w:ilvl="3" w:tplc="0427000F" w:tentative="1">
      <w:start w:val="1"/>
      <w:numFmt w:val="decimal"/>
      <w:lvlText w:val="%4."/>
      <w:lvlJc w:val="left"/>
      <w:pPr>
        <w:ind w:left="4081" w:hanging="360"/>
      </w:pPr>
    </w:lvl>
    <w:lvl w:ilvl="4" w:tplc="04270019" w:tentative="1">
      <w:start w:val="1"/>
      <w:numFmt w:val="lowerLetter"/>
      <w:lvlText w:val="%5."/>
      <w:lvlJc w:val="left"/>
      <w:pPr>
        <w:ind w:left="4801" w:hanging="360"/>
      </w:pPr>
    </w:lvl>
    <w:lvl w:ilvl="5" w:tplc="0427001B" w:tentative="1">
      <w:start w:val="1"/>
      <w:numFmt w:val="lowerRoman"/>
      <w:lvlText w:val="%6."/>
      <w:lvlJc w:val="right"/>
      <w:pPr>
        <w:ind w:left="5521" w:hanging="180"/>
      </w:pPr>
    </w:lvl>
    <w:lvl w:ilvl="6" w:tplc="0427000F" w:tentative="1">
      <w:start w:val="1"/>
      <w:numFmt w:val="decimal"/>
      <w:lvlText w:val="%7."/>
      <w:lvlJc w:val="left"/>
      <w:pPr>
        <w:ind w:left="6241" w:hanging="360"/>
      </w:pPr>
    </w:lvl>
    <w:lvl w:ilvl="7" w:tplc="04270019" w:tentative="1">
      <w:start w:val="1"/>
      <w:numFmt w:val="lowerLetter"/>
      <w:lvlText w:val="%8."/>
      <w:lvlJc w:val="left"/>
      <w:pPr>
        <w:ind w:left="6961" w:hanging="360"/>
      </w:pPr>
    </w:lvl>
    <w:lvl w:ilvl="8" w:tplc="0427001B" w:tentative="1">
      <w:start w:val="1"/>
      <w:numFmt w:val="lowerRoman"/>
      <w:lvlText w:val="%9."/>
      <w:lvlJc w:val="right"/>
      <w:pPr>
        <w:ind w:left="7681" w:hanging="180"/>
      </w:pPr>
    </w:lvl>
  </w:abstractNum>
  <w:abstractNum w:abstractNumId="2" w15:restartNumberingAfterBreak="0">
    <w:nsid w:val="494238F9"/>
    <w:multiLevelType w:val="multilevel"/>
    <w:tmpl w:val="D75224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54E50D3F"/>
    <w:multiLevelType w:val="hybridMultilevel"/>
    <w:tmpl w:val="A1E203E2"/>
    <w:lvl w:ilvl="0" w:tplc="0427000F">
      <w:start w:val="1"/>
      <w:numFmt w:val="decimal"/>
      <w:lvlText w:val="%1."/>
      <w:lvlJc w:val="left"/>
      <w:pPr>
        <w:ind w:left="2281" w:hanging="360"/>
      </w:pPr>
    </w:lvl>
    <w:lvl w:ilvl="1" w:tplc="04270019" w:tentative="1">
      <w:start w:val="1"/>
      <w:numFmt w:val="lowerLetter"/>
      <w:lvlText w:val="%2."/>
      <w:lvlJc w:val="left"/>
      <w:pPr>
        <w:ind w:left="3001" w:hanging="360"/>
      </w:pPr>
    </w:lvl>
    <w:lvl w:ilvl="2" w:tplc="0427001B" w:tentative="1">
      <w:start w:val="1"/>
      <w:numFmt w:val="lowerRoman"/>
      <w:lvlText w:val="%3."/>
      <w:lvlJc w:val="right"/>
      <w:pPr>
        <w:ind w:left="3721" w:hanging="180"/>
      </w:pPr>
    </w:lvl>
    <w:lvl w:ilvl="3" w:tplc="0427000F" w:tentative="1">
      <w:start w:val="1"/>
      <w:numFmt w:val="decimal"/>
      <w:lvlText w:val="%4."/>
      <w:lvlJc w:val="left"/>
      <w:pPr>
        <w:ind w:left="4441" w:hanging="360"/>
      </w:pPr>
    </w:lvl>
    <w:lvl w:ilvl="4" w:tplc="04270019" w:tentative="1">
      <w:start w:val="1"/>
      <w:numFmt w:val="lowerLetter"/>
      <w:lvlText w:val="%5."/>
      <w:lvlJc w:val="left"/>
      <w:pPr>
        <w:ind w:left="5161" w:hanging="360"/>
      </w:pPr>
    </w:lvl>
    <w:lvl w:ilvl="5" w:tplc="0427001B" w:tentative="1">
      <w:start w:val="1"/>
      <w:numFmt w:val="lowerRoman"/>
      <w:lvlText w:val="%6."/>
      <w:lvlJc w:val="right"/>
      <w:pPr>
        <w:ind w:left="5881" w:hanging="180"/>
      </w:pPr>
    </w:lvl>
    <w:lvl w:ilvl="6" w:tplc="0427000F" w:tentative="1">
      <w:start w:val="1"/>
      <w:numFmt w:val="decimal"/>
      <w:lvlText w:val="%7."/>
      <w:lvlJc w:val="left"/>
      <w:pPr>
        <w:ind w:left="6601" w:hanging="360"/>
      </w:pPr>
    </w:lvl>
    <w:lvl w:ilvl="7" w:tplc="04270019" w:tentative="1">
      <w:start w:val="1"/>
      <w:numFmt w:val="lowerLetter"/>
      <w:lvlText w:val="%8."/>
      <w:lvlJc w:val="left"/>
      <w:pPr>
        <w:ind w:left="7321" w:hanging="360"/>
      </w:pPr>
    </w:lvl>
    <w:lvl w:ilvl="8" w:tplc="0427001B" w:tentative="1">
      <w:start w:val="1"/>
      <w:numFmt w:val="lowerRoman"/>
      <w:lvlText w:val="%9."/>
      <w:lvlJc w:val="right"/>
      <w:pPr>
        <w:ind w:left="8041" w:hanging="180"/>
      </w:pPr>
    </w:lvl>
  </w:abstractNum>
  <w:num w:numId="1" w16cid:durableId="379211211">
    <w:abstractNumId w:val="2"/>
  </w:num>
  <w:num w:numId="2" w16cid:durableId="1257058918">
    <w:abstractNumId w:val="0"/>
  </w:num>
  <w:num w:numId="3" w16cid:durableId="792137360">
    <w:abstractNumId w:val="3"/>
  </w:num>
  <w:num w:numId="4" w16cid:durableId="1008559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B7B"/>
    <w:rsid w:val="00814B7B"/>
    <w:rsid w:val="00874EA2"/>
    <w:rsid w:val="00F2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89EA4"/>
  <w15:docId w15:val="{D373F072-33E5-4B40-8BFE-CC291A55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3">
    <w:name w:val="WW8Num13z3"/>
    <w:qFormat/>
    <w:rPr>
      <w:rFonts w:ascii="Symbol" w:hAnsi="Symbol" w:cs="Symbol"/>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b w:val="0"/>
    </w:rPr>
  </w:style>
  <w:style w:type="character" w:customStyle="1" w:styleId="WW8Num22z0">
    <w:name w:val="WW8Num22z0"/>
    <w:qFormat/>
    <w:rPr>
      <w:rFonts w:ascii="Symbol" w:hAnsi="Symbol" w:cs="Symbol"/>
      <w:sz w:val="20"/>
    </w:rPr>
  </w:style>
  <w:style w:type="character" w:customStyle="1" w:styleId="WW8Num22z1">
    <w:name w:val="WW8Num22z1"/>
    <w:qFormat/>
    <w:rPr>
      <w:rFonts w:ascii="Courier New" w:hAnsi="Courier New" w:cs="Courier New"/>
      <w:sz w:val="20"/>
    </w:rPr>
  </w:style>
  <w:style w:type="character" w:customStyle="1" w:styleId="WW8Num22z2">
    <w:name w:val="WW8Num22z2"/>
    <w:qFormat/>
    <w:rPr>
      <w:rFonts w:ascii="Wingdings" w:hAnsi="Wingdings" w:cs="Wingdings"/>
      <w:sz w:val="20"/>
    </w:rPr>
  </w:style>
  <w:style w:type="character" w:customStyle="1" w:styleId="AntratsDiagrama">
    <w:name w:val="Antraštės Diagrama"/>
    <w:qFormat/>
    <w:rPr>
      <w:sz w:val="24"/>
    </w:rPr>
  </w:style>
  <w:style w:type="character" w:customStyle="1" w:styleId="PoratDiagrama">
    <w:name w:val="Poraštė Diagrama"/>
    <w:qFormat/>
    <w:rPr>
      <w:sz w:val="24"/>
    </w:rPr>
  </w:style>
  <w:style w:type="character" w:customStyle="1" w:styleId="StrongEmphasis">
    <w:name w:val="Strong Emphasis"/>
    <w:qFormat/>
    <w:rPr>
      <w:b/>
      <w:bC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lang/>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styleId="prastasiniatinklio">
    <w:name w:val="Normal (Web)"/>
    <w:basedOn w:val="prastasis"/>
    <w:qFormat/>
    <w:pPr>
      <w:spacing w:before="280" w:after="280"/>
    </w:pPr>
    <w:rPr>
      <w:szCs w:val="24"/>
    </w:rPr>
  </w:style>
  <w:style w:type="paragraph" w:styleId="Sraopastraipa">
    <w:name w:val="List Paragraph"/>
    <w:basedOn w:val="prastasis"/>
    <w:qFormat/>
    <w:pPr>
      <w:ind w:left="1296"/>
    </w:p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2865</Words>
  <Characters>1634</Characters>
  <Application>Microsoft Office Word</Application>
  <DocSecurity>0</DocSecurity>
  <Lines>13</Lines>
  <Paragraphs>8</Paragraphs>
  <ScaleCrop>false</ScaleCrop>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4</cp:revision>
  <cp:lastPrinted>2024-02-14T13:49:00Z</cp:lastPrinted>
  <dcterms:created xsi:type="dcterms:W3CDTF">2026-04-09T15:37:00Z</dcterms:created>
  <dcterms:modified xsi:type="dcterms:W3CDTF">2026-04-14T10:11:00Z</dcterms:modified>
  <dc:language>lt-LT</dc:language>
</cp:coreProperties>
</file>