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image/x-wmf" PartName="/word/media/image1.wmf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<Relationship Id="rId1" Target="docProps/core.xml"
                 Type="http://schemas.openxmlformats.org/package/2006/relationships/metadata/core-properties"/>
   <Relationship Id="rId2" Target="docProps/app.xml"
                 Type="http://schemas.openxmlformats.org/officeDocument/2006/relationships/extended-properties"/>
   <Relationship Id="rId3" Target="word/document.xml"
                 Type="http://schemas.openxmlformats.org/officeDocument/2006/relationships/officeDocument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/>
          <w:lang w:val="lt-LT" w:eastAsia="lt-LT"/>
        </w:rPr>
      </w:pPr>
      <w:r>
        <w:rPr>
          <w:b/>
          <w:lang w:val="lt-LT" w:eastAsia="lt-LT"/>
        </w:rPr>
        <w:tab/>
        <w:tab/>
        <w:tab/>
        <w:tab/>
        <w:t xml:space="preserve">         Projekto lyginamasis variantas</w:t>
      </w:r>
    </w:p>
    <w:p>
      <w:pPr>
        <w:pStyle w:val="Normal"/>
        <w:jc w:val="center"/>
        <w:rPr>
          <w:b/>
          <w:b/>
          <w:lang w:eastAsia="zh-CN"/>
        </w:rPr>
      </w:pPr>
      <w:r>
        <w:rPr>
          <w:b/>
          <w:lang w:val="lt-LT" w:eastAsia="lt-LT"/>
        </w:rPr>
        <w:drawing>
          <wp:inline distT="0" distB="0" distL="0" distR="0">
            <wp:extent cx="457200" cy="532765"/>
            <wp:effectExtent l="0" t="0" r="0" b="0"/>
            <wp:docPr id="1" name="Paveikslėlis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2" t="-84" r="-42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lang w:eastAsia="zh-CN"/>
        </w:rPr>
      </w:pPr>
      <w:r>
        <w:rPr>
          <w:b/>
          <w:lang w:eastAsia="zh-CN"/>
        </w:rPr>
      </w:r>
    </w:p>
    <w:p>
      <w:pPr>
        <w:pStyle w:val="Normal"/>
        <w:jc w:val="center"/>
        <w:rPr>
          <w:b/>
          <w:b/>
          <w:szCs w:val="24"/>
          <w:lang w:eastAsia="zh-CN"/>
        </w:rPr>
      </w:pPr>
      <w:r>
        <w:rPr>
          <w:b/>
          <w:szCs w:val="24"/>
          <w:lang w:eastAsia="zh-CN"/>
        </w:rPr>
        <w:t>KĖDAINIŲ RAJONO SAVIVALDYBĖS TARYBA</w:t>
      </w:r>
    </w:p>
    <w:p>
      <w:pPr>
        <w:pStyle w:val="Normal"/>
        <w:jc w:val="center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</w:r>
    </w:p>
    <w:p>
      <w:pPr>
        <w:pStyle w:val="Normal"/>
        <w:jc w:val="center"/>
        <w:rPr>
          <w:b/>
          <w:b/>
          <w:sz w:val="28"/>
          <w:szCs w:val="28"/>
          <w:lang w:eastAsia="lt-LT"/>
        </w:rPr>
      </w:pPr>
      <w:r>
        <w:rPr>
          <w:b/>
          <w:szCs w:val="24"/>
          <w:lang w:eastAsia="lt-LT"/>
        </w:rPr>
        <w:t>SPRENDIMAS</w:t>
      </w:r>
    </w:p>
    <w:p>
      <w:pPr>
        <w:pStyle w:val="Normal"/>
        <w:jc w:val="center"/>
        <w:rPr/>
      </w:pPr>
      <w:r>
        <w:rPr>
          <w:b/>
          <w:szCs w:val="24"/>
          <w:lang w:eastAsia="lt-LT"/>
        </w:rPr>
        <w:t>DĖL KĖDAINIŲ RAJONO SAVIVALDYBĖS TARYBOS 2025 M. VASARIO 21 D. SPRENDIMO NR. TS-2 „DĖL KĖDAINIŲ RAJONO SAVIVALDYBĖS 2025 METŲ BIUDŽETO IR 2026–2027 METŲ PAJAMŲ IR ASIGNAVIMŲ TVIRTINIMO“</w:t>
      </w:r>
    </w:p>
    <w:p>
      <w:pPr>
        <w:pStyle w:val="Normal"/>
        <w:jc w:val="center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PAKEITIMO</w:t>
      </w:r>
    </w:p>
    <w:p>
      <w:pPr>
        <w:pStyle w:val="Normal"/>
        <w:jc w:val="center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</w:r>
    </w:p>
    <w:p>
      <w:pPr>
        <w:pStyle w:val="Normal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Nr.</w:t>
      </w:r>
    </w:p>
    <w:p>
      <w:pPr>
        <w:pStyle w:val="Normal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>
      <w:pPr>
        <w:pStyle w:val="Normal"/>
        <w:jc w:val="center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Kėdainių rajono savivaldybės taryba  n u s p r e n d ž i a:</w:t>
      </w:r>
    </w:p>
    <w:p>
      <w:pPr>
        <w:pStyle w:val="Normal"/>
        <w:ind w:firstLine="720"/>
        <w:jc w:val="both"/>
        <w:rPr/>
      </w:pPr>
      <w:r>
        <w:rPr>
          <w:szCs w:val="24"/>
          <w:lang w:eastAsia="lt-LT"/>
        </w:rPr>
        <w:t>Pakeisti Kėdainių rajono savivaldybės tarybos 2025 m. vasario 21 d. sprendimą Nr. TS-2 „D</w:t>
      </w:r>
      <w:r>
        <w:rPr>
          <w:bCs/>
          <w:szCs w:val="24"/>
          <w:lang w:eastAsia="lt-LT"/>
        </w:rPr>
        <w:t>ėl Kėdainių rajono savivaldybės 2025 metų biudžeto ir 2026–2027 metų pajamų ir asignavimų tvirtinimo</w:t>
      </w:r>
      <w:r>
        <w:rPr>
          <w:szCs w:val="24"/>
          <w:lang w:eastAsia="lt-LT"/>
        </w:rPr>
        <w:t>“:</w:t>
      </w:r>
    </w:p>
    <w:p>
      <w:pPr>
        <w:pStyle w:val="Normal"/>
        <w:spacing w:lineRule="auto" w:line="256"/>
        <w:ind w:left="710" w:hanging="0"/>
        <w:jc w:val="both"/>
        <w:rPr/>
      </w:pPr>
      <w:r>
        <w:rPr>
          <w:szCs w:val="24"/>
        </w:rPr>
        <w:t xml:space="preserve">1. </w:t>
      </w:r>
      <w:bookmarkStart w:id="0" w:name="_Hlk214023955"/>
      <w:r>
        <w:rPr>
          <w:color w:val="000000"/>
          <w:szCs w:val="24"/>
          <w:lang w:eastAsia="lt-LT"/>
        </w:rPr>
        <w:t xml:space="preserve">Pakeisti </w:t>
      </w:r>
      <w:bookmarkEnd w:id="0"/>
      <w:r>
        <w:rPr>
          <w:szCs w:val="24"/>
        </w:rPr>
        <w:t xml:space="preserve">1.1 </w:t>
      </w:r>
      <w:bookmarkStart w:id="1" w:name="_Hlk214024030"/>
      <w:r>
        <w:rPr>
          <w:szCs w:val="24"/>
        </w:rPr>
        <w:t xml:space="preserve">papunktį ir jį išdėstyti </w:t>
      </w:r>
      <w:bookmarkEnd w:id="1"/>
      <w:r>
        <w:rPr>
          <w:szCs w:val="24"/>
        </w:rPr>
        <w:t>taip:</w:t>
      </w:r>
    </w:p>
    <w:p>
      <w:pPr>
        <w:pStyle w:val="Normal"/>
        <w:spacing w:lineRule="auto" w:line="276"/>
        <w:ind w:firstLine="680"/>
        <w:jc w:val="both"/>
        <w:rPr/>
      </w:pPr>
      <w:r>
        <w:rPr>
          <w:szCs w:val="24"/>
          <w:lang w:eastAsia="lt-LT"/>
        </w:rPr>
        <w:t>„</w:t>
      </w:r>
      <w:r>
        <w:rPr>
          <w:szCs w:val="24"/>
          <w:lang w:eastAsia="lt-LT"/>
        </w:rPr>
        <w:t xml:space="preserve">1.1. 2025 metams – </w:t>
      </w:r>
      <w:r>
        <w:rPr>
          <w:strike/>
          <w:szCs w:val="24"/>
          <w:lang w:eastAsia="lt-LT"/>
        </w:rPr>
        <w:t>110 317,9 tūkst. Eur</w:t>
      </w:r>
      <w:r>
        <w:rPr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109 814,4 tūkst. Eur</w:t>
      </w:r>
      <w:r>
        <w:rPr>
          <w:szCs w:val="24"/>
          <w:lang w:eastAsia="lt-LT"/>
        </w:rPr>
        <w:t xml:space="preserve"> ir jų paskirstymą pagal pajamų rūšis, finansinių įsipareigojimų prisiėmimo (skolinimosi) pajamas ‒ 3 028,8 tūkst. Eur,  2024 metų nepanaudotas biudžeto pajamas (likutį) – 8 858,5 tūkst. Eur (1 priedas), iš jų:“   </w:t>
      </w:r>
    </w:p>
    <w:p>
      <w:pPr>
        <w:pStyle w:val="Normal"/>
        <w:ind w:firstLine="720"/>
        <w:jc w:val="both"/>
        <w:rPr/>
      </w:pPr>
      <w:r>
        <w:rPr>
          <w:szCs w:val="24"/>
          <w:lang w:eastAsia="lt-LT"/>
        </w:rPr>
        <w:t xml:space="preserve">2. </w:t>
      </w:r>
      <w:r>
        <w:rPr>
          <w:color w:val="000000"/>
          <w:szCs w:val="24"/>
          <w:lang w:eastAsia="lt-LT"/>
        </w:rPr>
        <w:t xml:space="preserve">Pakeisti </w:t>
      </w:r>
      <w:r>
        <w:rPr>
          <w:szCs w:val="24"/>
          <w:lang w:eastAsia="lt-LT"/>
        </w:rPr>
        <w:t xml:space="preserve">1 priedą ir </w:t>
      </w:r>
      <w:bookmarkStart w:id="2" w:name="_Hlk214024055"/>
      <w:r>
        <w:rPr>
          <w:szCs w:val="24"/>
          <w:lang w:eastAsia="lt-LT"/>
        </w:rPr>
        <w:t xml:space="preserve">jį išdėstyti nauja </w:t>
      </w:r>
      <w:bookmarkEnd w:id="2"/>
      <w:r>
        <w:rPr>
          <w:szCs w:val="24"/>
          <w:lang w:eastAsia="lt-LT"/>
        </w:rPr>
        <w:t>redakcija (pridedama).</w:t>
      </w:r>
    </w:p>
    <w:p>
      <w:pPr>
        <w:pStyle w:val="Normal"/>
        <w:ind w:firstLine="720"/>
        <w:jc w:val="both"/>
        <w:rPr/>
      </w:pPr>
      <w:r>
        <w:rPr>
          <w:szCs w:val="24"/>
          <w:lang w:eastAsia="lt-LT"/>
        </w:rPr>
        <w:t xml:space="preserve">3. </w:t>
      </w:r>
      <w:r>
        <w:rPr>
          <w:color w:val="000000"/>
          <w:szCs w:val="24"/>
          <w:lang w:eastAsia="lt-LT"/>
        </w:rPr>
        <w:t xml:space="preserve">Pakeisti </w:t>
      </w:r>
      <w:r>
        <w:rPr>
          <w:szCs w:val="24"/>
          <w:lang w:eastAsia="lt-LT"/>
        </w:rPr>
        <w:t xml:space="preserve">1.1.1 </w:t>
      </w:r>
      <w:r>
        <w:rPr>
          <w:szCs w:val="24"/>
        </w:rPr>
        <w:t xml:space="preserve">papunktį ir jį išdėstyti </w:t>
      </w:r>
      <w:r>
        <w:rPr>
          <w:szCs w:val="24"/>
          <w:lang w:eastAsia="lt-LT"/>
        </w:rPr>
        <w:t>taip:</w:t>
      </w:r>
    </w:p>
    <w:p>
      <w:pPr>
        <w:pStyle w:val="Normal"/>
        <w:ind w:firstLine="720"/>
        <w:jc w:val="both"/>
        <w:rPr/>
      </w:pPr>
      <w:r>
        <w:rPr>
          <w:szCs w:val="24"/>
          <w:lang w:eastAsia="lt-LT"/>
        </w:rPr>
        <w:t>„</w:t>
      </w:r>
      <w:r>
        <w:rPr>
          <w:szCs w:val="24"/>
          <w:lang w:eastAsia="lt-LT"/>
        </w:rPr>
        <w:t xml:space="preserve">1.1.1. Iš biudžeto išlaikomų įstaigų 2025 metų pajamas už prekes ir paslaugas –       </w:t>
      </w:r>
      <w:r>
        <w:rPr>
          <w:strike/>
          <w:szCs w:val="24"/>
          <w:lang w:eastAsia="lt-LT"/>
        </w:rPr>
        <w:t>3 082,5 tūkst. Eur</w:t>
      </w:r>
      <w:r>
        <w:rPr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3 181,8 tūkst. Eur</w:t>
      </w:r>
      <w:r>
        <w:rPr>
          <w:szCs w:val="24"/>
          <w:lang w:eastAsia="lt-LT"/>
        </w:rPr>
        <w:t xml:space="preserve"> (2 priedas).“</w:t>
      </w:r>
    </w:p>
    <w:p>
      <w:pPr>
        <w:pStyle w:val="Normal"/>
        <w:ind w:firstLine="720"/>
        <w:jc w:val="both"/>
        <w:rPr/>
      </w:pPr>
      <w:r>
        <w:rPr>
          <w:szCs w:val="24"/>
          <w:lang w:eastAsia="lt-LT"/>
        </w:rPr>
        <w:t xml:space="preserve">4. </w:t>
      </w:r>
      <w:r>
        <w:rPr>
          <w:color w:val="000000"/>
          <w:szCs w:val="24"/>
          <w:lang w:eastAsia="lt-LT"/>
        </w:rPr>
        <w:t xml:space="preserve">Pakeisti </w:t>
      </w:r>
      <w:r>
        <w:rPr>
          <w:szCs w:val="24"/>
          <w:lang w:eastAsia="lt-LT"/>
        </w:rPr>
        <w:t>2 priedą jį išdėstyti nauja redakcija (pridedama).</w:t>
      </w:r>
    </w:p>
    <w:p>
      <w:pPr>
        <w:pStyle w:val="Normal"/>
        <w:ind w:firstLine="720"/>
        <w:jc w:val="both"/>
        <w:rPr/>
      </w:pPr>
      <w:r>
        <w:rPr>
          <w:szCs w:val="24"/>
          <w:lang w:eastAsia="lt-LT"/>
        </w:rPr>
        <w:t xml:space="preserve">5. </w:t>
      </w:r>
      <w:r>
        <w:rPr>
          <w:color w:val="000000"/>
          <w:szCs w:val="24"/>
          <w:lang w:eastAsia="lt-LT"/>
        </w:rPr>
        <w:t xml:space="preserve">Pakeisti </w:t>
      </w:r>
      <w:r>
        <w:rPr>
          <w:szCs w:val="24"/>
          <w:lang w:eastAsia="lt-LT"/>
        </w:rPr>
        <w:t xml:space="preserve">2.1 papunktį </w:t>
      </w:r>
      <w:r>
        <w:rPr>
          <w:szCs w:val="24"/>
        </w:rPr>
        <w:t xml:space="preserve">ir jį išdėstyti </w:t>
      </w:r>
      <w:r>
        <w:rPr>
          <w:szCs w:val="24"/>
          <w:lang w:eastAsia="lt-LT"/>
        </w:rPr>
        <w:t>taip:</w:t>
      </w:r>
    </w:p>
    <w:p>
      <w:pPr>
        <w:pStyle w:val="Normal"/>
        <w:spacing w:lineRule="auto" w:line="276"/>
        <w:ind w:firstLine="680"/>
        <w:jc w:val="both"/>
        <w:rPr/>
      </w:pPr>
      <w:r>
        <w:rPr>
          <w:szCs w:val="24"/>
          <w:lang w:eastAsia="lt-LT"/>
        </w:rPr>
        <w:t>„</w:t>
      </w:r>
      <w:r>
        <w:rPr>
          <w:szCs w:val="24"/>
          <w:lang w:eastAsia="lt-LT"/>
        </w:rPr>
        <w:t xml:space="preserve">2.1. 2025 metams – </w:t>
      </w:r>
      <w:r>
        <w:rPr>
          <w:strike/>
          <w:szCs w:val="24"/>
          <w:lang w:eastAsia="lt-LT"/>
        </w:rPr>
        <w:t>120 139,4 tūkst. Eur</w:t>
      </w:r>
      <w:r>
        <w:rPr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119 635,9 tūkst. Eur</w:t>
      </w:r>
      <w:r>
        <w:rPr>
          <w:szCs w:val="24"/>
          <w:lang w:eastAsia="lt-LT"/>
        </w:rPr>
        <w:t xml:space="preserve"> ir jų paskirstymą savivaldybės administracijai ir (ar) savivaldybės administracijos struktūriniams padaliniams ar savivaldybės biudžetinėms įstaigoms programoms vykdyti, finansinio turto įsigijimo išlaidas (perskolinimas) ‒ 2 065,8 tūkst. Eur  (3 priedas);</w:t>
      </w:r>
    </w:p>
    <w:p>
      <w:pPr>
        <w:pStyle w:val="Normal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6. </w:t>
      </w:r>
      <w:bookmarkStart w:id="3" w:name="_Hlk201050172"/>
      <w:r>
        <w:rPr>
          <w:color w:val="000000"/>
          <w:szCs w:val="24"/>
          <w:lang w:eastAsia="lt-LT"/>
        </w:rPr>
        <w:t xml:space="preserve">Pakeisti </w:t>
      </w:r>
      <w:r>
        <w:rPr>
          <w:szCs w:val="24"/>
          <w:lang w:eastAsia="lt-LT"/>
        </w:rPr>
        <w:t xml:space="preserve">3 priedą jį išdėstyti </w:t>
      </w:r>
      <w:bookmarkEnd w:id="3"/>
      <w:r>
        <w:rPr>
          <w:szCs w:val="24"/>
          <w:lang w:eastAsia="lt-LT"/>
        </w:rPr>
        <w:t>nauja redakcija (pridedama).</w:t>
      </w:r>
    </w:p>
    <w:p>
      <w:pPr>
        <w:pStyle w:val="Normal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  <w:t>Savivaldybės meras</w:t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Courier New">
    <w:charset w:val="ba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ba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lt-L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lt-LT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Numatytasispastraiposriftas">
    <w:name w:val="Numatytasis pastraipos šriftas"/>
    <w:qFormat/>
    <w:rPr/>
  </w:style>
  <w:style w:type="character" w:styleId="AntratsDiagrama">
    <w:name w:val="Antraštės Diagrama"/>
    <w:qFormat/>
    <w:rPr>
      <w:sz w:val="24"/>
    </w:rPr>
  </w:style>
  <w:style w:type="character" w:styleId="PoratDiagrama">
    <w:name w:val="Poraštė Diagrama"/>
    <w:qFormat/>
    <w:rPr>
      <w:sz w:val="24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1296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Prastasiniatinklio">
    <w:name w:val="Įprastas (žiniatinklio)"/>
    <w:basedOn w:val="Normal"/>
    <w:qFormat/>
    <w:pPr>
      <w:spacing w:before="280" w:after="280"/>
    </w:pPr>
    <w:rPr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media/image1.wmf"
                 Type="http://schemas.openxmlformats.org/officeDocument/2006/relationships/image"/>
   <Relationship Id="rId3" Target="fontTable.xml"
                 Type="http://schemas.openxmlformats.org/officeDocument/2006/relationships/fontTable"/>
   <Relationship Id="rId4" Target="settings.xml"
                 Type="http://schemas.openxmlformats.org/officeDocument/2006/relationships/settings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2254</TotalTime>
  <Application>LibreOffice/7.3.4.2$Windows_x86 LibreOffice_project/728fec16bd5f605073805c3c9e7c4212a0120dc5</Application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2021-02-12T11:19:00Z</dcterms:created>
  <dc:creator>Vartotojas</dc:creator>
  <dc:language>lt-LT</dc:language>
  <cp:lastModifiedBy>Jolanta Sakavičienė</cp:lastModifiedBy>
  <cp:lastPrinted>2025-04-10T08:10:00Z</cp:lastPrinted>
  <dcterms:modified xsi:type="dcterms:W3CDTF">2025-11-14T15:32:00Z</dcterms:modified>
  <cp:revision>174</cp:revision>
</cp:coreProperties>
</file>