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4865" w14:textId="77777777" w:rsidR="00A06062" w:rsidRPr="00941F40" w:rsidRDefault="00A06062" w:rsidP="00C03E0D">
      <w:pPr>
        <w:widowControl w:val="0"/>
        <w:jc w:val="right"/>
        <w:rPr>
          <w:rFonts w:eastAsia="Lucida Sans Unicode"/>
          <w:kern w:val="1"/>
        </w:rPr>
      </w:pPr>
      <w:r w:rsidRPr="00941F40">
        <w:rPr>
          <w:b/>
          <w:bCs/>
          <w:kern w:val="1"/>
          <w:szCs w:val="24"/>
          <w:lang w:eastAsia="lt-LT"/>
        </w:rPr>
        <w:t>Projektas</w:t>
      </w:r>
    </w:p>
    <w:p w14:paraId="2CD5F839" w14:textId="624DED4B" w:rsidR="00A06062" w:rsidRPr="00941F40" w:rsidRDefault="00A41D10" w:rsidP="00A06062">
      <w:pPr>
        <w:jc w:val="center"/>
        <w:rPr>
          <w:sz w:val="20"/>
          <w:lang w:eastAsia="en-GB"/>
        </w:rPr>
      </w:pPr>
      <w:r w:rsidRPr="00941F40">
        <w:rPr>
          <w:noProof/>
          <w:szCs w:val="24"/>
          <w:lang w:eastAsia="lt-LT"/>
        </w:rPr>
        <w:drawing>
          <wp:inline distT="0" distB="0" distL="0" distR="0" wp14:anchorId="62955207" wp14:editId="1578B315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AC1B6" w14:textId="77777777" w:rsidR="00A06062" w:rsidRPr="00941F40" w:rsidRDefault="00A06062" w:rsidP="00A06062">
      <w:pPr>
        <w:rPr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3B53D6" w:rsidRPr="00941F40" w14:paraId="41D297D1" w14:textId="77777777" w:rsidTr="00A06062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651C301F" w14:textId="77777777" w:rsidR="003B53D6" w:rsidRPr="00941F40" w:rsidRDefault="005131A7" w:rsidP="00385D8D">
            <w:pPr>
              <w:widowControl w:val="0"/>
              <w:suppressAutoHyphens/>
              <w:spacing w:line="200" w:lineRule="atLeast"/>
              <w:ind w:right="-286"/>
              <w:jc w:val="center"/>
              <w:rPr>
                <w:b/>
                <w:bCs/>
                <w:caps/>
                <w:szCs w:val="24"/>
              </w:rPr>
            </w:pPr>
            <w:r w:rsidRPr="00941F40">
              <w:rPr>
                <w:b/>
                <w:bCs/>
                <w:caps/>
                <w:szCs w:val="24"/>
              </w:rPr>
              <w:t xml:space="preserve">kėdainių rajono savivaldybėS </w:t>
            </w:r>
            <w:r w:rsidR="00157AF5" w:rsidRPr="00941F40">
              <w:rPr>
                <w:b/>
                <w:bCs/>
                <w:caps/>
                <w:szCs w:val="24"/>
              </w:rPr>
              <w:t>TARYBA</w:t>
            </w:r>
          </w:p>
          <w:p w14:paraId="79D5C3D5" w14:textId="77777777" w:rsidR="00385D8D" w:rsidRPr="00941F40" w:rsidRDefault="00385D8D" w:rsidP="00385D8D">
            <w:pPr>
              <w:widowControl w:val="0"/>
              <w:suppressAutoHyphens/>
              <w:spacing w:line="200" w:lineRule="atLeast"/>
              <w:ind w:right="-286"/>
              <w:jc w:val="center"/>
              <w:rPr>
                <w:b/>
                <w:bCs/>
                <w:caps/>
                <w:szCs w:val="24"/>
              </w:rPr>
            </w:pPr>
          </w:p>
          <w:p w14:paraId="0147FD71" w14:textId="2B6C6E72" w:rsidR="00F14016" w:rsidRPr="00941F40" w:rsidRDefault="00F14016" w:rsidP="00385D8D">
            <w:pPr>
              <w:widowControl w:val="0"/>
              <w:suppressAutoHyphens/>
              <w:spacing w:line="200" w:lineRule="atLeast"/>
              <w:ind w:right="-286"/>
              <w:jc w:val="center"/>
              <w:rPr>
                <w:b/>
                <w:bCs/>
                <w:caps/>
                <w:szCs w:val="24"/>
              </w:rPr>
            </w:pPr>
            <w:r w:rsidRPr="00941F40">
              <w:rPr>
                <w:b/>
                <w:bCs/>
                <w:caps/>
                <w:szCs w:val="24"/>
              </w:rPr>
              <w:t>SPRENDIMAS</w:t>
            </w:r>
          </w:p>
        </w:tc>
      </w:tr>
    </w:tbl>
    <w:p w14:paraId="273EA12C" w14:textId="6D97F2B0" w:rsidR="00D5324B" w:rsidRPr="00941F40" w:rsidRDefault="005131A7" w:rsidP="00C01D3E">
      <w:pPr>
        <w:pStyle w:val="Pavadinim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DĖL KĖDAINIŲ RAJONO SAVIVALDYBĖS 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>TARYBOS</w:t>
      </w:r>
      <w:r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  20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GEGUŽĖS </w:t>
      </w:r>
      <w:r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SPRENDIMO </w:t>
      </w:r>
      <w:r w:rsidR="00FC5E4A"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TS-172 </w:t>
      </w:r>
      <w:r w:rsidRPr="00941F4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>DĖL SOCIALINĖS RIZIKOS ASMENŲ APSKAITOS KĖDAINIŲ RAJONO SAVIVALDYBĖS</w:t>
      </w:r>
      <w:r w:rsidR="00385D8D" w:rsidRPr="00941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324B" w:rsidRPr="00941F40">
        <w:rPr>
          <w:rFonts w:ascii="Times New Roman" w:hAnsi="Times New Roman" w:cs="Times New Roman"/>
          <w:b/>
          <w:bCs/>
          <w:sz w:val="24"/>
          <w:szCs w:val="24"/>
        </w:rPr>
        <w:t>ADMINISTRACIJOS SOCIALINĖS PARAMOS SKYRIUJE TVARKOS APRAŠO PATVIRTINIMO</w:t>
      </w:r>
      <w:r w:rsidR="00FC5E4A" w:rsidRPr="00941F40">
        <w:rPr>
          <w:rFonts w:ascii="Times New Roman" w:hAnsi="Times New Roman" w:cs="Times New Roman"/>
          <w:b/>
          <w:sz w:val="24"/>
          <w:szCs w:val="24"/>
          <w:lang w:eastAsia="en-GB"/>
        </w:rPr>
        <w:t>“</w:t>
      </w:r>
      <w:r w:rsidR="00351F91" w:rsidRPr="00941F4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41F40">
        <w:rPr>
          <w:rFonts w:ascii="Times New Roman" w:hAnsi="Times New Roman" w:cs="Times New Roman"/>
          <w:b/>
          <w:bCs/>
          <w:sz w:val="24"/>
          <w:szCs w:val="24"/>
        </w:rPr>
        <w:t>PRIPAŽINIMO NETEKUSIU GALIOS</w:t>
      </w:r>
    </w:p>
    <w:p w14:paraId="06BF9186" w14:textId="7E3E663E" w:rsidR="00D5324B" w:rsidRPr="00941F40" w:rsidRDefault="00D5324B" w:rsidP="00FC5E4A">
      <w:pPr>
        <w:jc w:val="center"/>
        <w:rPr>
          <w:b/>
          <w:bCs/>
          <w:szCs w:val="24"/>
        </w:rPr>
      </w:pPr>
    </w:p>
    <w:p w14:paraId="06262E72" w14:textId="74C2C1D6" w:rsidR="00941F40" w:rsidRDefault="00941F40" w:rsidP="00941F40">
      <w:pPr>
        <w:contextualSpacing/>
        <w:jc w:val="center"/>
        <w:rPr>
          <w:szCs w:val="24"/>
        </w:rPr>
      </w:pPr>
      <w:bookmarkStart w:id="0" w:name="_Hlk208906582"/>
      <w:bookmarkStart w:id="1" w:name="_Hlk207786081"/>
      <w:r w:rsidRPr="005844BB">
        <w:rPr>
          <w:szCs w:val="24"/>
        </w:rPr>
        <w:t xml:space="preserve">2025 m. </w:t>
      </w:r>
      <w:r>
        <w:rPr>
          <w:szCs w:val="24"/>
        </w:rPr>
        <w:t>spalio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>
        <w:rPr>
          <w:szCs w:val="24"/>
        </w:rPr>
        <w:t>326</w:t>
      </w:r>
      <w:r>
        <w:rPr>
          <w:szCs w:val="24"/>
        </w:rPr>
        <w:t xml:space="preserve">  </w:t>
      </w:r>
    </w:p>
    <w:bookmarkEnd w:id="1"/>
    <w:p w14:paraId="17C2CABF" w14:textId="77777777" w:rsidR="000E392F" w:rsidRPr="00941F40" w:rsidRDefault="00443CF9" w:rsidP="00443CF9">
      <w:pPr>
        <w:jc w:val="center"/>
        <w:rPr>
          <w:sz w:val="22"/>
          <w:szCs w:val="22"/>
          <w:lang w:eastAsia="en-GB"/>
        </w:rPr>
      </w:pPr>
      <w:r w:rsidRPr="00941F40">
        <w:rPr>
          <w:sz w:val="22"/>
          <w:szCs w:val="22"/>
          <w:lang w:eastAsia="en-GB"/>
        </w:rPr>
        <w:t>Kėdainiai</w:t>
      </w:r>
    </w:p>
    <w:p w14:paraId="4B86E006" w14:textId="67075878" w:rsidR="000E392F" w:rsidRPr="00941F40" w:rsidRDefault="000E392F">
      <w:pPr>
        <w:jc w:val="center"/>
        <w:rPr>
          <w:sz w:val="22"/>
          <w:szCs w:val="22"/>
          <w:lang w:eastAsia="en-GB"/>
        </w:rPr>
      </w:pPr>
    </w:p>
    <w:p w14:paraId="7D331F7B" w14:textId="77777777" w:rsidR="00941F40" w:rsidRDefault="0054583B" w:rsidP="00941F40">
      <w:pPr>
        <w:ind w:firstLine="851"/>
        <w:contextualSpacing/>
        <w:jc w:val="both"/>
        <w:rPr>
          <w:szCs w:val="24"/>
        </w:rPr>
      </w:pPr>
      <w:r w:rsidRPr="00941F40">
        <w:rPr>
          <w:color w:val="000000"/>
        </w:rPr>
        <w:t xml:space="preserve">Kėdainių rajono savivaldybės taryba </w:t>
      </w:r>
      <w:bookmarkStart w:id="2" w:name="_Hlk208906614"/>
      <w:bookmarkStart w:id="3" w:name="_Hlk207783678"/>
      <w:r w:rsidR="00941F40" w:rsidRPr="00F43C53">
        <w:rPr>
          <w:spacing w:val="60"/>
          <w:szCs w:val="24"/>
        </w:rPr>
        <w:t>nusprendži</w:t>
      </w:r>
      <w:r w:rsidR="00941F40">
        <w:rPr>
          <w:szCs w:val="24"/>
        </w:rPr>
        <w:t>a:</w:t>
      </w:r>
      <w:bookmarkEnd w:id="2"/>
    </w:p>
    <w:bookmarkEnd w:id="3"/>
    <w:p w14:paraId="4065FB8E" w14:textId="6185FE49" w:rsidR="00A41D10" w:rsidRPr="00941F40" w:rsidRDefault="00C03E0D" w:rsidP="00941F40">
      <w:pPr>
        <w:tabs>
          <w:tab w:val="left" w:pos="709"/>
        </w:tabs>
        <w:spacing w:line="276" w:lineRule="auto"/>
        <w:ind w:firstLine="851"/>
        <w:jc w:val="both"/>
      </w:pPr>
      <w:r w:rsidRPr="00941F40">
        <w:rPr>
          <w:color w:val="000000"/>
        </w:rPr>
        <w:t>P</w:t>
      </w:r>
      <w:r w:rsidR="00654C76" w:rsidRPr="00941F40">
        <w:rPr>
          <w:color w:val="000000"/>
        </w:rPr>
        <w:t xml:space="preserve">ripažinti netekusiu galios </w:t>
      </w:r>
      <w:r w:rsidR="00654C76" w:rsidRPr="00941F40">
        <w:rPr>
          <w:szCs w:val="24"/>
        </w:rPr>
        <w:t>Kėdainių rajono savivaldybės tarybos 2012 m. gegužės 25 d. sprendim</w:t>
      </w:r>
      <w:r w:rsidR="00C86B5B" w:rsidRPr="00941F40">
        <w:rPr>
          <w:szCs w:val="24"/>
        </w:rPr>
        <w:t>ą</w:t>
      </w:r>
      <w:r w:rsidR="00654C76" w:rsidRPr="00941F40">
        <w:rPr>
          <w:szCs w:val="24"/>
        </w:rPr>
        <w:t xml:space="preserve"> Nr. TS-172 „Dėl Socialinės rizikos asmenų apskaitos Kėdainių rajono savivaldybės administracijos Socialinės paramos skyriuje tvarkos aprašo patvirtinimo“</w:t>
      </w:r>
      <w:r w:rsidR="00A41D10" w:rsidRPr="00941F40">
        <w:rPr>
          <w:color w:val="EE0000"/>
          <w:szCs w:val="24"/>
          <w:lang w:eastAsia="en-GB"/>
        </w:rPr>
        <w:t xml:space="preserve"> </w:t>
      </w:r>
      <w:r w:rsidR="00A41D10" w:rsidRPr="00941F40">
        <w:rPr>
          <w:szCs w:val="24"/>
          <w:lang w:eastAsia="en-GB"/>
        </w:rPr>
        <w:t>su visais pakeitimais ir papildymais.</w:t>
      </w:r>
    </w:p>
    <w:p w14:paraId="5E551825" w14:textId="77777777" w:rsidR="003F2231" w:rsidRPr="00941F40" w:rsidRDefault="003F2231" w:rsidP="00B3495A">
      <w:pPr>
        <w:spacing w:line="276" w:lineRule="auto"/>
        <w:rPr>
          <w:rFonts w:eastAsia="Calibri"/>
          <w:szCs w:val="24"/>
        </w:rPr>
      </w:pPr>
    </w:p>
    <w:p w14:paraId="7AF53AAA" w14:textId="77777777" w:rsidR="003F2231" w:rsidRPr="00941F40" w:rsidRDefault="003F2231" w:rsidP="00B3495A">
      <w:pPr>
        <w:spacing w:line="276" w:lineRule="auto"/>
        <w:rPr>
          <w:rFonts w:eastAsia="Calibri"/>
          <w:szCs w:val="24"/>
        </w:rPr>
      </w:pPr>
    </w:p>
    <w:p w14:paraId="5E6EAD6C" w14:textId="018C35B6" w:rsidR="000E392F" w:rsidRPr="00941F40" w:rsidRDefault="00A06062" w:rsidP="00B3495A">
      <w:pPr>
        <w:spacing w:line="276" w:lineRule="auto"/>
        <w:rPr>
          <w:rFonts w:eastAsia="Calibri"/>
          <w:szCs w:val="24"/>
        </w:rPr>
      </w:pPr>
      <w:r w:rsidRPr="00941F40">
        <w:rPr>
          <w:rFonts w:eastAsia="Calibri"/>
          <w:szCs w:val="24"/>
        </w:rPr>
        <w:t>Savivaldybės meras</w:t>
      </w:r>
    </w:p>
    <w:p w14:paraId="3C5E374A" w14:textId="057BF817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7FE93489" w14:textId="30917617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576C0FD2" w14:textId="67A7BF5B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2964FE9F" w14:textId="2288D734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76B4BDA1" w14:textId="0EDBBE3B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1F1D90E9" w14:textId="562AD5C1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42DE58D1" w14:textId="67021826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56655BEB" w14:textId="098438B7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30807F00" w14:textId="4C94F785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09E87EF7" w14:textId="375B6E72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49A8E567" w14:textId="6F758006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09BD5DB2" w14:textId="40C01E5A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25592E60" w14:textId="6954DDE2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77D10C1A" w14:textId="29CA3BF4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4E6AD8E1" w14:textId="740F1663" w:rsidR="000512BD" w:rsidRPr="00941F40" w:rsidRDefault="000512BD" w:rsidP="00B3495A">
      <w:pPr>
        <w:spacing w:line="276" w:lineRule="auto"/>
        <w:rPr>
          <w:rFonts w:eastAsia="Calibri"/>
          <w:szCs w:val="24"/>
        </w:rPr>
      </w:pPr>
    </w:p>
    <w:p w14:paraId="5DC3C73F" w14:textId="77777777" w:rsidR="00A41D10" w:rsidRPr="00941F40" w:rsidRDefault="00A41D10" w:rsidP="00B3495A">
      <w:pPr>
        <w:spacing w:line="276" w:lineRule="auto"/>
        <w:rPr>
          <w:rFonts w:eastAsia="Calibri"/>
          <w:szCs w:val="24"/>
        </w:rPr>
      </w:pPr>
    </w:p>
    <w:p w14:paraId="643302FB" w14:textId="77777777" w:rsidR="00A41D10" w:rsidRPr="00941F40" w:rsidRDefault="00A41D10" w:rsidP="00B3495A">
      <w:pPr>
        <w:spacing w:line="276" w:lineRule="auto"/>
        <w:rPr>
          <w:rFonts w:eastAsia="Calibri"/>
          <w:szCs w:val="24"/>
        </w:rPr>
      </w:pPr>
    </w:p>
    <w:p w14:paraId="318C4E16" w14:textId="77777777" w:rsidR="006748DB" w:rsidRPr="00941F40" w:rsidRDefault="006748DB" w:rsidP="000512BD">
      <w:pPr>
        <w:widowControl w:val="0"/>
        <w:suppressAutoHyphens/>
        <w:ind w:left="-15"/>
        <w:rPr>
          <w:rFonts w:eastAsia="Lucida Sans Unicode"/>
          <w:kern w:val="1"/>
        </w:rPr>
      </w:pPr>
    </w:p>
    <w:p w14:paraId="02D1BCDE" w14:textId="77777777" w:rsidR="006748DB" w:rsidRPr="00941F40" w:rsidRDefault="006748DB" w:rsidP="000512BD">
      <w:pPr>
        <w:widowControl w:val="0"/>
        <w:suppressAutoHyphens/>
        <w:ind w:left="-15"/>
        <w:rPr>
          <w:rFonts w:eastAsia="Lucida Sans Unicode"/>
          <w:kern w:val="1"/>
        </w:rPr>
      </w:pPr>
    </w:p>
    <w:p w14:paraId="1FC85468" w14:textId="77777777" w:rsidR="006748DB" w:rsidRPr="00941F40" w:rsidRDefault="006748DB" w:rsidP="000512BD">
      <w:pPr>
        <w:widowControl w:val="0"/>
        <w:suppressAutoHyphens/>
        <w:ind w:left="-15"/>
        <w:rPr>
          <w:rFonts w:eastAsia="Lucida Sans Unicode"/>
          <w:kern w:val="1"/>
        </w:rPr>
      </w:pPr>
    </w:p>
    <w:p w14:paraId="405B1972" w14:textId="77777777" w:rsidR="007C3E3F" w:rsidRPr="00941F40" w:rsidRDefault="007C3E3F" w:rsidP="000512BD">
      <w:pPr>
        <w:widowControl w:val="0"/>
        <w:suppressAutoHyphens/>
        <w:ind w:left="-15"/>
        <w:rPr>
          <w:rFonts w:eastAsia="Lucida Sans Unicode"/>
          <w:kern w:val="1"/>
        </w:rPr>
      </w:pPr>
    </w:p>
    <w:p w14:paraId="150B6F21" w14:textId="77777777" w:rsidR="006748DB" w:rsidRPr="00941F40" w:rsidRDefault="006748DB" w:rsidP="00334261">
      <w:pPr>
        <w:widowControl w:val="0"/>
        <w:suppressAutoHyphens/>
        <w:rPr>
          <w:rFonts w:eastAsia="Lucida Sans Unicode"/>
          <w:kern w:val="1"/>
        </w:rPr>
      </w:pPr>
    </w:p>
    <w:p w14:paraId="335B204B" w14:textId="77777777" w:rsidR="00334261" w:rsidRPr="00941F40" w:rsidRDefault="00334261" w:rsidP="00334261">
      <w:pPr>
        <w:widowControl w:val="0"/>
        <w:suppressAutoHyphens/>
        <w:rPr>
          <w:rFonts w:eastAsia="Lucida Sans Unicode"/>
          <w:kern w:val="1"/>
        </w:rPr>
      </w:pPr>
    </w:p>
    <w:p w14:paraId="492B2DC7" w14:textId="77777777" w:rsidR="00941F40" w:rsidRDefault="00941F40" w:rsidP="000512BD">
      <w:pPr>
        <w:widowControl w:val="0"/>
        <w:suppressAutoHyphens/>
        <w:ind w:left="-15"/>
        <w:rPr>
          <w:rFonts w:eastAsia="Lucida Sans Unicode"/>
          <w:kern w:val="1"/>
        </w:rPr>
      </w:pPr>
      <w:r>
        <w:rPr>
          <w:rFonts w:eastAsia="Lucida Sans Unicode"/>
          <w:kern w:val="1"/>
        </w:rPr>
        <w:br w:type="page"/>
      </w:r>
    </w:p>
    <w:p w14:paraId="422A1175" w14:textId="1CF048F2" w:rsidR="000512BD" w:rsidRPr="00941F40" w:rsidRDefault="000512BD" w:rsidP="000512BD">
      <w:pPr>
        <w:widowControl w:val="0"/>
        <w:suppressAutoHyphens/>
        <w:ind w:left="-15"/>
        <w:rPr>
          <w:rFonts w:eastAsia="Lucida Sans Unicode"/>
          <w:kern w:val="1"/>
        </w:rPr>
      </w:pPr>
      <w:r w:rsidRPr="00941F40">
        <w:rPr>
          <w:rFonts w:eastAsia="Lucida Sans Unicode"/>
          <w:kern w:val="1"/>
        </w:rPr>
        <w:lastRenderedPageBreak/>
        <w:t>Kėdainių rajono savivaldybės tarybai</w:t>
      </w:r>
    </w:p>
    <w:p w14:paraId="62EC7E09" w14:textId="77777777" w:rsidR="000512BD" w:rsidRPr="00941F40" w:rsidRDefault="000512BD" w:rsidP="000512BD">
      <w:pPr>
        <w:widowControl w:val="0"/>
        <w:suppressAutoHyphens/>
        <w:ind w:left="-15"/>
        <w:rPr>
          <w:rFonts w:eastAsia="Lucida Sans Unicode"/>
          <w:kern w:val="1"/>
        </w:rPr>
      </w:pPr>
    </w:p>
    <w:p w14:paraId="1EE565EA" w14:textId="77777777" w:rsidR="000512BD" w:rsidRPr="00941F40" w:rsidRDefault="000512BD" w:rsidP="000512BD">
      <w:pPr>
        <w:widowControl w:val="0"/>
        <w:suppressAutoHyphens/>
        <w:ind w:left="-15"/>
        <w:rPr>
          <w:rFonts w:eastAsia="Lucida Sans Unicode"/>
          <w:kern w:val="1"/>
        </w:rPr>
      </w:pPr>
    </w:p>
    <w:p w14:paraId="6183958D" w14:textId="77777777" w:rsidR="000512BD" w:rsidRPr="00941F40" w:rsidRDefault="000512BD" w:rsidP="000512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</w:rPr>
      </w:pPr>
      <w:r w:rsidRPr="00941F40">
        <w:rPr>
          <w:rFonts w:eastAsia="Lucida Sans Unicode"/>
          <w:b/>
          <w:kern w:val="1"/>
        </w:rPr>
        <w:t>AIŠKINAMASIS  RAŠTAS</w:t>
      </w:r>
    </w:p>
    <w:p w14:paraId="6505606F" w14:textId="3EC9CDA5" w:rsidR="000512BD" w:rsidRPr="00941F40" w:rsidRDefault="000512BD" w:rsidP="00C03E0D">
      <w:pPr>
        <w:pStyle w:val="Pavadinim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F40">
        <w:rPr>
          <w:rFonts w:ascii="Times New Roman" w:hAnsi="Times New Roman" w:cs="Times New Roman"/>
          <w:b/>
          <w:bCs/>
          <w:sz w:val="24"/>
          <w:szCs w:val="24"/>
        </w:rPr>
        <w:t>DĖL KĖDAINIŲ RAJONO SAVIVALDYBĖS TARYBOS  2012 M. GEGUŽĖS  25 D. SPRENDIMO NR. TS-172 „DĖL SOCIALINĖS RIZIKOS ASMENŲ APSKAITOS KĖDAINIŲ RAJONO SAVIVALDYBĖS ADMINISTRACIJOS SOCIALINĖS PARAMOS SKYRIUJE TVARKOS APRAŠO PATVIRTINIMO</w:t>
      </w:r>
      <w:r w:rsidRPr="00941F40">
        <w:rPr>
          <w:rFonts w:ascii="Times New Roman" w:hAnsi="Times New Roman" w:cs="Times New Roman"/>
          <w:b/>
          <w:sz w:val="24"/>
          <w:szCs w:val="24"/>
          <w:lang w:eastAsia="en-GB"/>
        </w:rPr>
        <w:t>“</w:t>
      </w:r>
      <w:r w:rsidR="00C626FD" w:rsidRPr="00941F4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41F4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41F40">
        <w:rPr>
          <w:rFonts w:ascii="Times New Roman" w:hAnsi="Times New Roman" w:cs="Times New Roman"/>
          <w:b/>
          <w:bCs/>
          <w:sz w:val="24"/>
          <w:szCs w:val="24"/>
        </w:rPr>
        <w:t>PRIPAŽINIMO NETEKUSIU GALIOS</w:t>
      </w:r>
    </w:p>
    <w:p w14:paraId="464EB343" w14:textId="77777777" w:rsidR="00C03E0D" w:rsidRPr="00941F40" w:rsidRDefault="00C03E0D" w:rsidP="00C03E0D">
      <w:pPr>
        <w:rPr>
          <w:rFonts w:eastAsia="Lucida Sans Unicode"/>
        </w:rPr>
      </w:pPr>
    </w:p>
    <w:p w14:paraId="1A517DCF" w14:textId="0A503BBA" w:rsidR="000512BD" w:rsidRPr="00941F40" w:rsidRDefault="00A67F37" w:rsidP="000512BD">
      <w:pPr>
        <w:widowControl w:val="0"/>
        <w:suppressAutoHyphens/>
        <w:jc w:val="center"/>
        <w:rPr>
          <w:rFonts w:eastAsia="Lucida Sans Unicode"/>
          <w:kern w:val="1"/>
          <w:szCs w:val="24"/>
        </w:rPr>
      </w:pPr>
      <w:r w:rsidRPr="00941F40">
        <w:rPr>
          <w:rFonts w:eastAsia="Lucida Sans Unicode"/>
          <w:kern w:val="1"/>
          <w:szCs w:val="24"/>
        </w:rPr>
        <w:t>2025 m. spalio1</w:t>
      </w:r>
      <w:r w:rsidR="003F2231" w:rsidRPr="00941F40">
        <w:rPr>
          <w:rFonts w:eastAsia="Lucida Sans Unicode"/>
          <w:kern w:val="1"/>
          <w:szCs w:val="24"/>
        </w:rPr>
        <w:t>5</w:t>
      </w:r>
      <w:r w:rsidRPr="00941F40">
        <w:rPr>
          <w:rFonts w:eastAsia="Lucida Sans Unicode"/>
          <w:kern w:val="1"/>
          <w:szCs w:val="24"/>
        </w:rPr>
        <w:t xml:space="preserve"> d.</w:t>
      </w:r>
    </w:p>
    <w:p w14:paraId="43542EDD" w14:textId="77777777" w:rsidR="000512BD" w:rsidRPr="00941F40" w:rsidRDefault="000512BD" w:rsidP="000512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</w:rPr>
      </w:pPr>
      <w:r w:rsidRPr="00941F40">
        <w:rPr>
          <w:rFonts w:eastAsia="Lucida Sans Unicode"/>
          <w:kern w:val="1"/>
          <w:szCs w:val="24"/>
        </w:rPr>
        <w:t>Kėdainiai</w:t>
      </w:r>
    </w:p>
    <w:p w14:paraId="0F96A4C3" w14:textId="77777777" w:rsidR="000512BD" w:rsidRPr="00941F40" w:rsidRDefault="000512BD" w:rsidP="000512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</w:rPr>
      </w:pPr>
      <w:r w:rsidRPr="00941F40">
        <w:rPr>
          <w:rFonts w:eastAsia="Lucida Sans Unicode"/>
          <w:b/>
          <w:bCs/>
          <w:kern w:val="1"/>
          <w:szCs w:val="24"/>
        </w:rPr>
        <w:tab/>
      </w:r>
    </w:p>
    <w:p w14:paraId="01EF1748" w14:textId="77777777" w:rsidR="000512BD" w:rsidRPr="00941F40" w:rsidRDefault="000512BD" w:rsidP="000512BD">
      <w:pPr>
        <w:widowControl w:val="0"/>
        <w:suppressAutoHyphens/>
        <w:ind w:firstLine="709"/>
        <w:rPr>
          <w:rFonts w:eastAsia="Lucida Sans Unicode"/>
          <w:kern w:val="1"/>
          <w:szCs w:val="24"/>
        </w:rPr>
      </w:pPr>
      <w:r w:rsidRPr="00941F40">
        <w:rPr>
          <w:rFonts w:eastAsia="Lucida Sans Unicode"/>
          <w:b/>
          <w:bCs/>
          <w:kern w:val="1"/>
          <w:szCs w:val="24"/>
        </w:rPr>
        <w:t>Parengto sprendimo projekto tikslai:</w:t>
      </w:r>
    </w:p>
    <w:p w14:paraId="1C6C9514" w14:textId="14D69D95" w:rsidR="00C626FD" w:rsidRPr="00941F40" w:rsidRDefault="00C626FD" w:rsidP="000C2A90">
      <w:pPr>
        <w:widowControl w:val="0"/>
        <w:suppressAutoHyphens/>
        <w:ind w:firstLine="709"/>
        <w:jc w:val="both"/>
        <w:rPr>
          <w:rFonts w:eastAsia="Calibri"/>
          <w:szCs w:val="24"/>
        </w:rPr>
      </w:pPr>
      <w:bookmarkStart w:id="4" w:name="_Hlk190851672"/>
      <w:r w:rsidRPr="00941F40">
        <w:rPr>
          <w:rFonts w:eastAsia="Calibri"/>
          <w:szCs w:val="24"/>
        </w:rPr>
        <w:t>Pripažinti netekusiu galios Socialinės rizikos asmenų apskaitos</w:t>
      </w:r>
      <w:r w:rsidR="00C03E0D" w:rsidRPr="00941F40">
        <w:rPr>
          <w:rFonts w:eastAsia="Calibri"/>
          <w:szCs w:val="24"/>
        </w:rPr>
        <w:t xml:space="preserve"> </w:t>
      </w:r>
      <w:r w:rsidRPr="00941F40">
        <w:rPr>
          <w:rFonts w:eastAsia="Calibri"/>
          <w:szCs w:val="24"/>
        </w:rPr>
        <w:t xml:space="preserve">Kėdainių </w:t>
      </w:r>
      <w:r w:rsidR="00C03E0D" w:rsidRPr="00941F40">
        <w:rPr>
          <w:rFonts w:eastAsia="Calibri"/>
          <w:szCs w:val="24"/>
        </w:rPr>
        <w:t xml:space="preserve">rajono </w:t>
      </w:r>
      <w:r w:rsidRPr="00941F40">
        <w:rPr>
          <w:rFonts w:eastAsia="Calibri"/>
          <w:szCs w:val="24"/>
        </w:rPr>
        <w:t>savivaldybės administracijos Socialinės paramos skyriuje tvarkos aprašą.</w:t>
      </w:r>
    </w:p>
    <w:bookmarkEnd w:id="4"/>
    <w:p w14:paraId="3A6D69B7" w14:textId="77777777" w:rsidR="00C626FD" w:rsidRPr="00941F40" w:rsidRDefault="000512BD" w:rsidP="000C2A90">
      <w:pPr>
        <w:widowControl w:val="0"/>
        <w:suppressAutoHyphens/>
        <w:ind w:firstLine="709"/>
        <w:jc w:val="both"/>
        <w:rPr>
          <w:rFonts w:eastAsia="Calibri"/>
          <w:szCs w:val="24"/>
        </w:rPr>
      </w:pPr>
      <w:r w:rsidRPr="00941F40">
        <w:rPr>
          <w:rFonts w:eastAsia="Lucida Sans Unicode"/>
          <w:b/>
          <w:bCs/>
          <w:kern w:val="1"/>
          <w:szCs w:val="24"/>
        </w:rPr>
        <w:t>Sprendimo projekto esmė, rengimo priežastys ir motyvai:</w:t>
      </w:r>
    </w:p>
    <w:p w14:paraId="6C57CAED" w14:textId="7540DB7E" w:rsidR="00241D77" w:rsidRPr="00941F40" w:rsidRDefault="000C2A90" w:rsidP="000C2A90">
      <w:pPr>
        <w:widowControl w:val="0"/>
        <w:suppressAutoHyphens/>
        <w:ind w:firstLine="709"/>
        <w:jc w:val="both"/>
        <w:rPr>
          <w:rFonts w:eastAsia="Calibri"/>
          <w:szCs w:val="24"/>
        </w:rPr>
      </w:pPr>
      <w:r w:rsidRPr="00941F40">
        <w:rPr>
          <w:rFonts w:eastAsia="Calibri"/>
          <w:szCs w:val="24"/>
        </w:rPr>
        <w:t xml:space="preserve">Socialinės rizikos asmenų apskaitos Kėdainių savivaldybės administracijos Socialinės paramos skyriuje tvarka nebeatitinka galiojančių teisės aktų nuostatų, kadangi </w:t>
      </w:r>
      <w:r w:rsidR="00C626FD" w:rsidRPr="00941F40">
        <w:rPr>
          <w:rFonts w:eastAsia="Lucida Sans Unicode"/>
          <w:kern w:val="1"/>
          <w:szCs w:val="24"/>
        </w:rPr>
        <w:t xml:space="preserve">Lietuvos Respublikos </w:t>
      </w:r>
      <w:r w:rsidR="00C03E0D" w:rsidRPr="00941F40">
        <w:rPr>
          <w:rFonts w:eastAsia="Lucida Sans Unicode"/>
          <w:kern w:val="1"/>
          <w:szCs w:val="24"/>
        </w:rPr>
        <w:t>s</w:t>
      </w:r>
      <w:r w:rsidR="00C626FD" w:rsidRPr="00941F40">
        <w:rPr>
          <w:rFonts w:eastAsia="Lucida Sans Unicode"/>
          <w:kern w:val="1"/>
          <w:szCs w:val="24"/>
        </w:rPr>
        <w:t>ocialinių paslaugų įstatym</w:t>
      </w:r>
      <w:r w:rsidR="003F2231" w:rsidRPr="00941F40">
        <w:rPr>
          <w:rFonts w:eastAsia="Lucida Sans Unicode"/>
          <w:kern w:val="1"/>
          <w:szCs w:val="24"/>
        </w:rPr>
        <w:t>e socialinė rizika apibrėžiama kaip v</w:t>
      </w:r>
      <w:r w:rsidR="003F2231" w:rsidRPr="00941F40">
        <w:rPr>
          <w:color w:val="000000"/>
        </w:rPr>
        <w:t xml:space="preserve">eiksniai ir aplinkybės, dėl kurių šeimos ar asmenys patiria arba yra pavojus jiems patirti socialinę atskirtį. </w:t>
      </w:r>
    </w:p>
    <w:p w14:paraId="4E9AD37E" w14:textId="5719B61E" w:rsidR="00241D77" w:rsidRPr="00941F40" w:rsidRDefault="00241D77" w:rsidP="000C2A90">
      <w:pPr>
        <w:widowControl w:val="0"/>
        <w:suppressAutoHyphens/>
        <w:ind w:firstLine="709"/>
        <w:jc w:val="both"/>
        <w:rPr>
          <w:color w:val="000000"/>
        </w:rPr>
      </w:pPr>
      <w:r w:rsidRPr="00941F40">
        <w:rPr>
          <w:color w:val="000000"/>
        </w:rPr>
        <w:t>Nacionaliniai teisės aktai nenumato atskiros</w:t>
      </w:r>
      <w:r w:rsidR="000C2A90" w:rsidRPr="00941F40">
        <w:rPr>
          <w:color w:val="000000"/>
        </w:rPr>
        <w:t xml:space="preserve"> </w:t>
      </w:r>
      <w:r w:rsidRPr="00941F40">
        <w:rPr>
          <w:color w:val="000000"/>
        </w:rPr>
        <w:t>asmenų, kurie patiria socialinę riziką</w:t>
      </w:r>
      <w:r w:rsidR="000C2A90" w:rsidRPr="00941F40">
        <w:rPr>
          <w:color w:val="000000"/>
        </w:rPr>
        <w:t xml:space="preserve">, apskaitos. </w:t>
      </w:r>
      <w:r w:rsidRPr="00941F40">
        <w:rPr>
          <w:color w:val="000000"/>
        </w:rPr>
        <w:t>Apie asmenų patiriamą socialinę riziką, duomenys stebimi teikiant socialines paslaugas ir piniginę socialinę paramą</w:t>
      </w:r>
      <w:r w:rsidR="000C2A90" w:rsidRPr="00941F40">
        <w:rPr>
          <w:color w:val="000000"/>
        </w:rPr>
        <w:t>.</w:t>
      </w:r>
    </w:p>
    <w:p w14:paraId="768FB9CC" w14:textId="77777777" w:rsidR="000512BD" w:rsidRPr="00941F40" w:rsidRDefault="000512BD" w:rsidP="000C2A90">
      <w:pPr>
        <w:widowControl w:val="0"/>
        <w:suppressAutoHyphens/>
        <w:ind w:right="-1" w:firstLine="720"/>
        <w:jc w:val="both"/>
        <w:textAlignment w:val="baseline"/>
        <w:rPr>
          <w:rFonts w:eastAsia="Lucida Sans Unicode"/>
          <w:kern w:val="1"/>
          <w:szCs w:val="24"/>
        </w:rPr>
      </w:pPr>
      <w:r w:rsidRPr="00941F40">
        <w:rPr>
          <w:rFonts w:eastAsia="Lucida Sans Unicode"/>
          <w:b/>
          <w:kern w:val="1"/>
          <w:szCs w:val="24"/>
        </w:rPr>
        <w:t>Lėšų poreikis:</w:t>
      </w:r>
      <w:r w:rsidRPr="00941F40">
        <w:rPr>
          <w:rFonts w:eastAsia="Lucida Sans Unicode"/>
          <w:kern w:val="1"/>
          <w:szCs w:val="24"/>
        </w:rPr>
        <w:t xml:space="preserve"> </w:t>
      </w:r>
    </w:p>
    <w:p w14:paraId="02D7C3A5" w14:textId="2311462D" w:rsidR="000512BD" w:rsidRPr="00941F40" w:rsidRDefault="00C626FD" w:rsidP="000C2A90">
      <w:pPr>
        <w:widowControl w:val="0"/>
        <w:suppressAutoHyphens/>
        <w:ind w:firstLine="709"/>
        <w:jc w:val="both"/>
        <w:rPr>
          <w:rFonts w:eastAsia="Lucida Sans Unicode"/>
          <w:b/>
          <w:bCs/>
          <w:kern w:val="1"/>
          <w:szCs w:val="24"/>
        </w:rPr>
      </w:pPr>
      <w:r w:rsidRPr="00941F40">
        <w:rPr>
          <w:rFonts w:eastAsia="Lucida Sans Unicode"/>
          <w:kern w:val="1"/>
          <w:szCs w:val="24"/>
        </w:rPr>
        <w:t>Nėra.</w:t>
      </w:r>
    </w:p>
    <w:p w14:paraId="2A794039" w14:textId="77777777" w:rsidR="000512BD" w:rsidRPr="00941F40" w:rsidRDefault="000512BD" w:rsidP="000C2A90">
      <w:pPr>
        <w:widowControl w:val="0"/>
        <w:suppressAutoHyphens/>
        <w:ind w:firstLine="709"/>
        <w:jc w:val="both"/>
        <w:rPr>
          <w:rFonts w:eastAsia="Lucida Sans Unicode"/>
          <w:kern w:val="1"/>
          <w:szCs w:val="24"/>
        </w:rPr>
      </w:pPr>
      <w:r w:rsidRPr="00941F40">
        <w:rPr>
          <w:rFonts w:eastAsia="Lucida Sans Unicode"/>
          <w:b/>
          <w:bCs/>
          <w:kern w:val="1"/>
          <w:szCs w:val="24"/>
        </w:rPr>
        <w:t>Laukiami rezultatai:</w:t>
      </w:r>
      <w:r w:rsidRPr="00941F40">
        <w:rPr>
          <w:rFonts w:eastAsia="Lucida Sans Unicode"/>
          <w:kern w:val="1"/>
          <w:szCs w:val="24"/>
        </w:rPr>
        <w:tab/>
      </w:r>
    </w:p>
    <w:p w14:paraId="39FC3103" w14:textId="00694D07" w:rsidR="000512BD" w:rsidRPr="00941F40" w:rsidRDefault="000A1861" w:rsidP="00334261">
      <w:pPr>
        <w:ind w:right="-2" w:firstLine="709"/>
        <w:jc w:val="both"/>
        <w:rPr>
          <w:rFonts w:eastAsia="Calibri"/>
          <w:szCs w:val="24"/>
        </w:rPr>
      </w:pPr>
      <w:r w:rsidRPr="00941F40">
        <w:rPr>
          <w:rFonts w:eastAsia="Calibri"/>
          <w:szCs w:val="24"/>
        </w:rPr>
        <w:t xml:space="preserve">Panaikintas nebeatitinkantis galiojančių teisės aktų </w:t>
      </w:r>
      <w:r w:rsidR="00A41D10" w:rsidRPr="00941F40">
        <w:rPr>
          <w:rFonts w:eastAsia="Calibri"/>
          <w:szCs w:val="24"/>
        </w:rPr>
        <w:t xml:space="preserve">Kėdainių rajono savivaldybės tarybos 2012 m. gegužės 25 d. sprendimas Nr. TS-172 </w:t>
      </w:r>
      <w:r w:rsidR="00A41D10" w:rsidRPr="00941F40">
        <w:rPr>
          <w:szCs w:val="24"/>
        </w:rPr>
        <w:t>„Dėl Socialinės rizikos asmenų apskaitos Kėdainių rajono savivaldybės administracijos Socialinės paramos skyriuje tvarkos aprašo patvirtinimo“.</w:t>
      </w:r>
    </w:p>
    <w:p w14:paraId="1AF116A2" w14:textId="77777777" w:rsidR="000512BD" w:rsidRPr="00941F40" w:rsidRDefault="000512BD" w:rsidP="000512BD">
      <w:pPr>
        <w:ind w:firstLine="680"/>
        <w:rPr>
          <w:b/>
          <w:kern w:val="1"/>
          <w:szCs w:val="24"/>
          <w:lang w:eastAsia="lt-LT"/>
        </w:rPr>
      </w:pPr>
      <w:r w:rsidRPr="00941F40">
        <w:rPr>
          <w:b/>
          <w:bCs/>
          <w:kern w:val="1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17"/>
        <w:gridCol w:w="2976"/>
        <w:gridCol w:w="2837"/>
      </w:tblGrid>
      <w:tr w:rsidR="000512BD" w:rsidRPr="00941F40" w14:paraId="2F30E454" w14:textId="77777777" w:rsidTr="00691673">
        <w:trPr>
          <w:trHeight w:val="285"/>
        </w:trPr>
        <w:tc>
          <w:tcPr>
            <w:tcW w:w="3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FE16D3" w14:textId="77777777" w:rsidR="000512BD" w:rsidRPr="00941F40" w:rsidRDefault="000512BD" w:rsidP="000512BD">
            <w:pPr>
              <w:rPr>
                <w:b/>
                <w:bCs/>
                <w:kern w:val="1"/>
                <w:szCs w:val="24"/>
                <w:lang w:eastAsia="lt-LT"/>
              </w:rPr>
            </w:pPr>
            <w:r w:rsidRPr="00941F40">
              <w:rPr>
                <w:b/>
                <w:kern w:val="1"/>
                <w:szCs w:val="24"/>
                <w:lang w:eastAsia="lt-LT"/>
              </w:rPr>
              <w:t>Sritys</w:t>
            </w:r>
          </w:p>
        </w:tc>
        <w:tc>
          <w:tcPr>
            <w:tcW w:w="5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07BE6B8E" w14:textId="77777777" w:rsidR="000512BD" w:rsidRPr="00941F40" w:rsidRDefault="000512BD" w:rsidP="000512BD">
            <w:pPr>
              <w:rPr>
                <w:rFonts w:eastAsia="Lucida Sans Unicode"/>
                <w:kern w:val="1"/>
              </w:rPr>
            </w:pPr>
            <w:r w:rsidRPr="00941F40">
              <w:rPr>
                <w:b/>
                <w:bCs/>
                <w:kern w:val="1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0512BD" w:rsidRPr="00941F40" w14:paraId="76C5DC4B" w14:textId="77777777" w:rsidTr="00691673">
        <w:trPr>
          <w:trHeight w:val="540"/>
        </w:trPr>
        <w:tc>
          <w:tcPr>
            <w:tcW w:w="3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B437C5" w14:textId="77777777" w:rsidR="000512BD" w:rsidRPr="00941F40" w:rsidRDefault="000512BD" w:rsidP="000512BD">
            <w:pPr>
              <w:rPr>
                <w:b/>
                <w:kern w:val="1"/>
                <w:szCs w:val="24"/>
                <w:lang w:bidi="lo-LA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CC3E74" w14:textId="77777777" w:rsidR="000512BD" w:rsidRPr="00941F40" w:rsidRDefault="000512BD" w:rsidP="000512BD">
            <w:pPr>
              <w:rPr>
                <w:b/>
                <w:kern w:val="1"/>
                <w:szCs w:val="24"/>
                <w:lang w:eastAsia="lt-LT"/>
              </w:rPr>
            </w:pPr>
            <w:r w:rsidRPr="00941F40">
              <w:rPr>
                <w:b/>
                <w:kern w:val="1"/>
                <w:szCs w:val="24"/>
                <w:lang w:eastAsia="lt-LT"/>
              </w:rPr>
              <w:t>Teigiamas poveikis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84E9B2" w14:textId="77777777" w:rsidR="000512BD" w:rsidRPr="00941F40" w:rsidRDefault="000512BD" w:rsidP="000512BD">
            <w:pPr>
              <w:rPr>
                <w:b/>
                <w:i/>
                <w:kern w:val="1"/>
                <w:szCs w:val="24"/>
                <w:lang w:eastAsia="lt-LT"/>
              </w:rPr>
            </w:pPr>
            <w:r w:rsidRPr="00941F40">
              <w:rPr>
                <w:b/>
                <w:kern w:val="1"/>
                <w:szCs w:val="24"/>
                <w:lang w:eastAsia="lt-LT"/>
              </w:rPr>
              <w:t>Neigiamas poveikis</w:t>
            </w:r>
          </w:p>
          <w:p w14:paraId="25061E51" w14:textId="77777777" w:rsidR="000512BD" w:rsidRPr="00941F40" w:rsidRDefault="000512BD" w:rsidP="000512BD">
            <w:pPr>
              <w:rPr>
                <w:b/>
                <w:i/>
                <w:kern w:val="1"/>
                <w:szCs w:val="24"/>
                <w:lang w:eastAsia="lt-LT"/>
              </w:rPr>
            </w:pPr>
          </w:p>
        </w:tc>
      </w:tr>
      <w:tr w:rsidR="000512BD" w:rsidRPr="00941F40" w14:paraId="26AB61CA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A12568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Ekonomikai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24B983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ED88F2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78395725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D34CDD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Finansams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3882E5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023F0B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063BAFA1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D11197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Socialinei 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9C9E1A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6A39E5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71CEF26A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D7820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Viešajam administravimui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863148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1D86F2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7C8822E8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36BA21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Teisinei sistemai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8F53EF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3F0C3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7D4EE014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B015B8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Kriminogeninei situacijai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3DFC00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962C4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14CA69E3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F7482A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8587D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877619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01A5F72B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CE3E9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Administracinei naštai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02F33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F6AEE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34564A3D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07E3C4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Regiono plėtrai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B9CA6B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97459C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  <w:tr w:rsidR="000512BD" w:rsidRPr="00941F40" w14:paraId="1C5B5C60" w14:textId="77777777" w:rsidTr="00691673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6AD475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  <w:r w:rsidRPr="00941F40">
              <w:rPr>
                <w:i/>
                <w:kern w:val="1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658597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C2B9B6" w14:textId="77777777" w:rsidR="000512BD" w:rsidRPr="00941F40" w:rsidRDefault="000512BD" w:rsidP="000512BD">
            <w:pPr>
              <w:rPr>
                <w:i/>
                <w:kern w:val="1"/>
                <w:szCs w:val="24"/>
                <w:lang w:bidi="lo-LA"/>
              </w:rPr>
            </w:pPr>
          </w:p>
        </w:tc>
      </w:tr>
    </w:tbl>
    <w:p w14:paraId="77F3A005" w14:textId="77777777" w:rsidR="000512BD" w:rsidRPr="00941F40" w:rsidRDefault="000512BD" w:rsidP="000512BD">
      <w:pPr>
        <w:jc w:val="both"/>
        <w:rPr>
          <w:kern w:val="1"/>
          <w:sz w:val="20"/>
          <w:lang w:bidi="lo-LA"/>
        </w:rPr>
      </w:pPr>
    </w:p>
    <w:p w14:paraId="584ED527" w14:textId="77777777" w:rsidR="000512BD" w:rsidRPr="00941F40" w:rsidRDefault="000512BD" w:rsidP="000512BD">
      <w:pPr>
        <w:jc w:val="both"/>
        <w:rPr>
          <w:kern w:val="1"/>
          <w:szCs w:val="24"/>
          <w:lang w:eastAsia="lt-LT"/>
        </w:rPr>
      </w:pPr>
      <w:r w:rsidRPr="00941F40">
        <w:rPr>
          <w:b/>
          <w:kern w:val="1"/>
          <w:sz w:val="20"/>
          <w:lang w:bidi="lo-LA"/>
        </w:rPr>
        <w:t>*</w:t>
      </w:r>
      <w:r w:rsidRPr="00941F40">
        <w:rPr>
          <w:bCs/>
          <w:kern w:val="1"/>
          <w:sz w:val="20"/>
          <w:lang w:eastAsia="lt-LT"/>
        </w:rPr>
        <w:t xml:space="preserve"> Numatomo teisinio reguliavimo poveikio vertinimas atliekamas r</w:t>
      </w:r>
      <w:r w:rsidRPr="00941F40">
        <w:rPr>
          <w:kern w:val="1"/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941F40">
        <w:rPr>
          <w:kern w:val="1"/>
          <w:sz w:val="20"/>
          <w:lang w:bidi="lo-LA"/>
        </w:rPr>
        <w:t xml:space="preserve"> </w:t>
      </w:r>
      <w:r w:rsidRPr="00941F40">
        <w:rPr>
          <w:kern w:val="1"/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D2DEA15" w14:textId="77777777" w:rsidR="000512BD" w:rsidRPr="00941F40" w:rsidRDefault="000512BD" w:rsidP="000512BD">
      <w:pPr>
        <w:rPr>
          <w:kern w:val="1"/>
          <w:szCs w:val="24"/>
          <w:lang w:eastAsia="lt-LT"/>
        </w:rPr>
      </w:pPr>
    </w:p>
    <w:p w14:paraId="3579D9AF" w14:textId="2E605B98" w:rsidR="000512BD" w:rsidRPr="00941F40" w:rsidRDefault="00C03E0D" w:rsidP="00C03E0D">
      <w:pPr>
        <w:widowControl w:val="0"/>
        <w:suppressAutoHyphens/>
        <w:jc w:val="both"/>
        <w:rPr>
          <w:rFonts w:eastAsia="Lucida Sans Unicode"/>
          <w:lang w:eastAsia="lt-LT"/>
        </w:rPr>
      </w:pPr>
      <w:r w:rsidRPr="00941F40">
        <w:rPr>
          <w:rFonts w:eastAsia="Lucida Sans Unicode"/>
          <w:lang w:eastAsia="lt-LT"/>
        </w:rPr>
        <w:t>Socialinės paramos s</w:t>
      </w:r>
      <w:r w:rsidR="000512BD" w:rsidRPr="00941F40">
        <w:rPr>
          <w:rFonts w:eastAsia="Lucida Sans Unicode"/>
          <w:lang w:eastAsia="lt-LT"/>
        </w:rPr>
        <w:t xml:space="preserve">kyriaus vedėja                       </w:t>
      </w:r>
      <w:r w:rsidR="000A50C9" w:rsidRPr="00941F40">
        <w:rPr>
          <w:rFonts w:eastAsia="Lucida Sans Unicode"/>
          <w:lang w:eastAsia="lt-LT"/>
        </w:rPr>
        <w:t xml:space="preserve">  </w:t>
      </w:r>
      <w:r w:rsidRPr="00941F40">
        <w:rPr>
          <w:rFonts w:eastAsia="Lucida Sans Unicode"/>
          <w:lang w:eastAsia="lt-LT"/>
        </w:rPr>
        <w:t xml:space="preserve">                                          </w:t>
      </w:r>
      <w:r w:rsidR="000512BD" w:rsidRPr="00941F40">
        <w:rPr>
          <w:rFonts w:eastAsia="Lucida Sans Unicode"/>
          <w:lang w:eastAsia="lt-LT"/>
        </w:rPr>
        <w:t>Gintarė Vainauskienė</w:t>
      </w:r>
    </w:p>
    <w:sectPr w:rsidR="000512BD" w:rsidRPr="00941F40" w:rsidSect="00C03E0D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4AFF" w14:textId="77777777" w:rsidR="006400EF" w:rsidRDefault="006400EF" w:rsidP="00654C76">
      <w:r>
        <w:separator/>
      </w:r>
    </w:p>
  </w:endnote>
  <w:endnote w:type="continuationSeparator" w:id="0">
    <w:p w14:paraId="24B7F89D" w14:textId="77777777" w:rsidR="006400EF" w:rsidRDefault="006400EF" w:rsidP="0065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B47D" w14:textId="77777777" w:rsidR="006400EF" w:rsidRDefault="006400EF" w:rsidP="00654C76">
      <w:r>
        <w:separator/>
      </w:r>
    </w:p>
  </w:footnote>
  <w:footnote w:type="continuationSeparator" w:id="0">
    <w:p w14:paraId="628EB059" w14:textId="77777777" w:rsidR="006400EF" w:rsidRDefault="006400EF" w:rsidP="0065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A5"/>
    <w:rsid w:val="000512BD"/>
    <w:rsid w:val="0009210A"/>
    <w:rsid w:val="000951CE"/>
    <w:rsid w:val="000A0859"/>
    <w:rsid w:val="000A1861"/>
    <w:rsid w:val="000A50C9"/>
    <w:rsid w:val="000C2A90"/>
    <w:rsid w:val="000E392F"/>
    <w:rsid w:val="00105736"/>
    <w:rsid w:val="00152B80"/>
    <w:rsid w:val="00157AF5"/>
    <w:rsid w:val="00160091"/>
    <w:rsid w:val="001F0A86"/>
    <w:rsid w:val="001F40BF"/>
    <w:rsid w:val="00206DC7"/>
    <w:rsid w:val="0022297F"/>
    <w:rsid w:val="00241D77"/>
    <w:rsid w:val="002763F6"/>
    <w:rsid w:val="002E3401"/>
    <w:rsid w:val="00334033"/>
    <w:rsid w:val="00334261"/>
    <w:rsid w:val="00351F91"/>
    <w:rsid w:val="00353C04"/>
    <w:rsid w:val="003740C6"/>
    <w:rsid w:val="0037481A"/>
    <w:rsid w:val="00385D8D"/>
    <w:rsid w:val="00392DC3"/>
    <w:rsid w:val="0039563F"/>
    <w:rsid w:val="003B53D6"/>
    <w:rsid w:val="003D5140"/>
    <w:rsid w:val="003F2231"/>
    <w:rsid w:val="00416543"/>
    <w:rsid w:val="00427AE1"/>
    <w:rsid w:val="00443CF9"/>
    <w:rsid w:val="00447737"/>
    <w:rsid w:val="0048022C"/>
    <w:rsid w:val="004B6279"/>
    <w:rsid w:val="00504DD8"/>
    <w:rsid w:val="00512F9C"/>
    <w:rsid w:val="005131A7"/>
    <w:rsid w:val="005174E6"/>
    <w:rsid w:val="0054583B"/>
    <w:rsid w:val="005538D6"/>
    <w:rsid w:val="00561F04"/>
    <w:rsid w:val="005761DA"/>
    <w:rsid w:val="00585775"/>
    <w:rsid w:val="005D2385"/>
    <w:rsid w:val="005D325D"/>
    <w:rsid w:val="005D7926"/>
    <w:rsid w:val="00624595"/>
    <w:rsid w:val="00626080"/>
    <w:rsid w:val="006400EF"/>
    <w:rsid w:val="00654C76"/>
    <w:rsid w:val="006748DB"/>
    <w:rsid w:val="006D083B"/>
    <w:rsid w:val="007337F0"/>
    <w:rsid w:val="00775324"/>
    <w:rsid w:val="0078472C"/>
    <w:rsid w:val="007B3CCC"/>
    <w:rsid w:val="007C3E3F"/>
    <w:rsid w:val="007D1E93"/>
    <w:rsid w:val="00806F75"/>
    <w:rsid w:val="00812E50"/>
    <w:rsid w:val="00863CF3"/>
    <w:rsid w:val="00904B09"/>
    <w:rsid w:val="009371D7"/>
    <w:rsid w:val="00941F40"/>
    <w:rsid w:val="00990C69"/>
    <w:rsid w:val="00A06062"/>
    <w:rsid w:val="00A079E3"/>
    <w:rsid w:val="00A41D10"/>
    <w:rsid w:val="00A57DC5"/>
    <w:rsid w:val="00A67F37"/>
    <w:rsid w:val="00AA0C72"/>
    <w:rsid w:val="00AD6CAD"/>
    <w:rsid w:val="00AF2479"/>
    <w:rsid w:val="00B27820"/>
    <w:rsid w:val="00B3495A"/>
    <w:rsid w:val="00B95B7C"/>
    <w:rsid w:val="00C01D3E"/>
    <w:rsid w:val="00C02FEB"/>
    <w:rsid w:val="00C03E0D"/>
    <w:rsid w:val="00C05374"/>
    <w:rsid w:val="00C626FD"/>
    <w:rsid w:val="00C86B5B"/>
    <w:rsid w:val="00D308A5"/>
    <w:rsid w:val="00D5324B"/>
    <w:rsid w:val="00DA17AE"/>
    <w:rsid w:val="00E25445"/>
    <w:rsid w:val="00E31E7D"/>
    <w:rsid w:val="00E609E6"/>
    <w:rsid w:val="00E60F60"/>
    <w:rsid w:val="00EE3657"/>
    <w:rsid w:val="00F14016"/>
    <w:rsid w:val="00F143DA"/>
    <w:rsid w:val="00F36AEB"/>
    <w:rsid w:val="00F46D13"/>
    <w:rsid w:val="00F60897"/>
    <w:rsid w:val="00FA2FD9"/>
    <w:rsid w:val="00FC5E4A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CD4F"/>
  <w15:docId w15:val="{D410D75D-4DFE-4305-9288-6D1B5B2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rsid w:val="001057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10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ats">
    <w:name w:val="header"/>
    <w:basedOn w:val="prastasis"/>
    <w:link w:val="AntratsDiagrama"/>
    <w:unhideWhenUsed/>
    <w:rsid w:val="00654C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54C76"/>
  </w:style>
  <w:style w:type="paragraph" w:styleId="Porat">
    <w:name w:val="footer"/>
    <w:basedOn w:val="prastasis"/>
    <w:link w:val="PoratDiagrama"/>
    <w:unhideWhenUsed/>
    <w:rsid w:val="00654C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54C76"/>
  </w:style>
  <w:style w:type="table" w:styleId="Lentelstinklelis">
    <w:name w:val="Table Grid"/>
    <w:basedOn w:val="prastojilentel"/>
    <w:rsid w:val="000512BD"/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C4B8-B574-43A0-89B7-3713772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Mickeviciene</dc:creator>
  <cp:lastModifiedBy>Steponas Navajauskas</cp:lastModifiedBy>
  <cp:revision>8</cp:revision>
  <cp:lastPrinted>2022-12-19T09:56:00Z</cp:lastPrinted>
  <dcterms:created xsi:type="dcterms:W3CDTF">2025-10-14T08:25:00Z</dcterms:created>
  <dcterms:modified xsi:type="dcterms:W3CDTF">2025-10-21T05:30:00Z</dcterms:modified>
</cp:coreProperties>
</file>