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A59BE">
      <w:pPr>
        <w:widowControl w:val="0"/>
        <w:autoSpaceDE w:val="0"/>
        <w:autoSpaceDN w:val="0"/>
        <w:adjustRightInd w:val="0"/>
        <w:ind w:firstLine="850"/>
        <w:jc w:val="center"/>
        <w:rPr>
          <w:b/>
          <w:lang w:val="lt-LT" w:eastAsia="zh-CN"/>
        </w:rPr>
      </w:pPr>
      <w:r>
        <w:rPr>
          <w:b/>
          <w:lang w:val="lt-LT" w:eastAsia="zh-CN"/>
        </w:rPr>
        <w:t>JUNGTINĖS VEIKLOS SUTARTIS</w:t>
      </w:r>
    </w:p>
    <w:p w14:paraId="437326CC">
      <w:pPr>
        <w:ind w:firstLine="850"/>
        <w:jc w:val="center"/>
        <w:rPr>
          <w:b/>
          <w:lang w:val="lt-LT"/>
        </w:rPr>
      </w:pPr>
      <w:r>
        <w:rPr>
          <w:b/>
          <w:lang w:val="lt-LT"/>
        </w:rPr>
        <w:t>DĖL DALIES TURIZMO INFORMACIJOS CENTRO FUNKCIJŲ VYKDYMO BIRŠTONO, KAUNO M., KAUNO R., KĖDAINIŲ R., KAIŠIADORIŲ R., JONAVOS R., RASEINIŲ R. IR PRIENŲ R. SAVIVALDYBĖSE</w:t>
      </w:r>
    </w:p>
    <w:p w14:paraId="34679013">
      <w:pPr>
        <w:widowControl w:val="0"/>
        <w:autoSpaceDE w:val="0"/>
        <w:autoSpaceDN w:val="0"/>
        <w:adjustRightInd w:val="0"/>
        <w:ind w:firstLine="850"/>
        <w:rPr>
          <w:b/>
          <w:lang w:val="lt-LT"/>
        </w:rPr>
      </w:pPr>
    </w:p>
    <w:p w14:paraId="40A5D60D">
      <w:pPr>
        <w:widowControl w:val="0"/>
        <w:autoSpaceDE w:val="0"/>
        <w:autoSpaceDN w:val="0"/>
        <w:adjustRightInd w:val="0"/>
        <w:ind w:firstLine="850"/>
        <w:jc w:val="center"/>
        <w:rPr>
          <w:bCs/>
          <w:lang w:val="lt-LT"/>
        </w:rPr>
      </w:pPr>
      <w:r>
        <w:rPr>
          <w:bCs/>
          <w:lang w:val="lt-LT"/>
        </w:rPr>
        <w:t>2025 m.                     d.</w:t>
      </w:r>
      <w:r>
        <w:rPr>
          <w:b/>
          <w:lang w:val="lt-LT"/>
        </w:rPr>
        <w:t xml:space="preserve"> </w:t>
      </w:r>
      <w:r>
        <w:rPr>
          <w:bCs/>
          <w:lang w:val="lt-LT"/>
        </w:rPr>
        <w:t>Nr.</w:t>
      </w:r>
    </w:p>
    <w:p w14:paraId="35117CED">
      <w:pPr>
        <w:widowControl w:val="0"/>
        <w:autoSpaceDE w:val="0"/>
        <w:autoSpaceDN w:val="0"/>
        <w:adjustRightInd w:val="0"/>
        <w:ind w:firstLine="850"/>
        <w:jc w:val="center"/>
        <w:rPr>
          <w:bCs/>
          <w:lang w:val="lt-LT"/>
        </w:rPr>
      </w:pPr>
      <w:r>
        <w:rPr>
          <w:bCs/>
          <w:lang w:val="lt-LT"/>
        </w:rPr>
        <w:t>Kaunas</w:t>
      </w:r>
    </w:p>
    <w:p w14:paraId="7AF25F85">
      <w:pPr>
        <w:widowControl w:val="0"/>
        <w:autoSpaceDE w:val="0"/>
        <w:autoSpaceDN w:val="0"/>
        <w:adjustRightInd w:val="0"/>
        <w:spacing w:line="240" w:lineRule="auto"/>
        <w:ind w:firstLine="850"/>
        <w:jc w:val="both"/>
        <w:rPr>
          <w:bCs/>
          <w:lang w:val="lt-LT"/>
        </w:rPr>
      </w:pPr>
    </w:p>
    <w:p w14:paraId="3F475FD6">
      <w:pPr>
        <w:spacing w:line="240" w:lineRule="auto"/>
        <w:ind w:right="34" w:firstLine="850"/>
        <w:jc w:val="both"/>
        <w:rPr>
          <w:lang w:val="lt-LT"/>
        </w:rPr>
      </w:pPr>
      <w:r>
        <w:rPr>
          <w:lang w:val="lt-LT"/>
        </w:rPr>
        <w:t>Mes, Jungtinės veiklos sutarties šalys (toliau – Šalys, kiekviena atskirai vadinama Šalimi):</w:t>
      </w:r>
    </w:p>
    <w:p w14:paraId="30346B96">
      <w:pPr>
        <w:widowControl w:val="0"/>
        <w:autoSpaceDE w:val="0"/>
        <w:autoSpaceDN w:val="0"/>
        <w:adjustRightInd w:val="0"/>
        <w:spacing w:line="240" w:lineRule="auto"/>
        <w:ind w:right="34" w:firstLine="850"/>
        <w:jc w:val="both"/>
        <w:rPr>
          <w:lang w:val="lt-LT"/>
        </w:rPr>
      </w:pPr>
      <w:r>
        <w:rPr>
          <w:b/>
          <w:bCs/>
          <w:lang w:val="lt-LT"/>
        </w:rPr>
        <w:t>Birštono savivaldybė</w:t>
      </w:r>
      <w:r>
        <w:rPr>
          <w:lang w:val="lt-LT"/>
        </w:rPr>
        <w:t xml:space="preserve">, atstovaujama Birštono savivaldybės merės </w:t>
      </w:r>
      <w:r>
        <w:rPr>
          <w:b/>
          <w:bCs/>
          <w:lang w:val="lt-LT"/>
        </w:rPr>
        <w:t>Nijolės Dirginčienės</w:t>
      </w:r>
      <w:r>
        <w:rPr>
          <w:lang w:val="lt-LT"/>
        </w:rPr>
        <w:t>, įgaliota Birštono savivaldybės tarybos 2025 m. ________  sprendimu Nr. ___ „________“,</w:t>
      </w:r>
    </w:p>
    <w:p w14:paraId="661020F9">
      <w:pPr>
        <w:widowControl w:val="0"/>
        <w:autoSpaceDE w:val="0"/>
        <w:autoSpaceDN w:val="0"/>
        <w:adjustRightInd w:val="0"/>
        <w:spacing w:line="240" w:lineRule="auto"/>
        <w:ind w:right="34" w:firstLine="850"/>
        <w:jc w:val="both"/>
        <w:rPr>
          <w:lang w:val="lt-LT"/>
        </w:rPr>
      </w:pPr>
      <w:r>
        <w:rPr>
          <w:b/>
          <w:bCs/>
          <w:lang w:val="lt-LT"/>
        </w:rPr>
        <w:t>Jonavos rajono savivaldybė</w:t>
      </w:r>
      <w:r>
        <w:rPr>
          <w:lang w:val="lt-LT"/>
        </w:rPr>
        <w:t xml:space="preserve">, atstovaujama Jonavos rajono savivaldybės mero </w:t>
      </w:r>
      <w:r>
        <w:rPr>
          <w:rStyle w:val="10"/>
          <w:shd w:val="clear" w:color="auto" w:fill="FFFFFF"/>
          <w:lang w:val="lt-LT"/>
        </w:rPr>
        <w:t>Mindaugo Sinkevičiaus</w:t>
      </w:r>
      <w:r>
        <w:rPr>
          <w:lang w:val="lt-LT"/>
        </w:rPr>
        <w:t>, įgalioto Jonavos rajono savivaldybės tarybos 2025 m. ________  sprendimu Nr. ___ „________“,</w:t>
      </w:r>
    </w:p>
    <w:p w14:paraId="13CDD53D">
      <w:pPr>
        <w:widowControl w:val="0"/>
        <w:autoSpaceDE w:val="0"/>
        <w:autoSpaceDN w:val="0"/>
        <w:adjustRightInd w:val="0"/>
        <w:spacing w:line="240" w:lineRule="auto"/>
        <w:ind w:right="34" w:firstLine="850"/>
        <w:jc w:val="both"/>
        <w:rPr>
          <w:lang w:val="lt-LT"/>
        </w:rPr>
      </w:pPr>
      <w:r>
        <w:rPr>
          <w:b/>
          <w:bCs/>
          <w:lang w:val="lt-LT"/>
        </w:rPr>
        <w:t>Kaišiadorių rajono savivaldybė</w:t>
      </w:r>
      <w:r>
        <w:rPr>
          <w:lang w:val="lt-LT"/>
        </w:rPr>
        <w:t xml:space="preserve">, atstovaujama Kaišiadorių rajono savivaldybės mero </w:t>
      </w:r>
      <w:r>
        <w:rPr>
          <w:rStyle w:val="10"/>
          <w:shd w:val="clear" w:color="auto" w:fill="FFFFFF"/>
          <w:lang w:val="lt-LT"/>
        </w:rPr>
        <w:t>Šarūno Čėsnos</w:t>
      </w:r>
      <w:r>
        <w:rPr>
          <w:lang w:val="lt-LT"/>
        </w:rPr>
        <w:t>, įgalioto Kaišiadorių rajono savivaldybės tarybos 2025 m. ________  sprendimu Nr. ___ „________“,</w:t>
      </w:r>
    </w:p>
    <w:p w14:paraId="2E9C2F0C">
      <w:pPr>
        <w:widowControl w:val="0"/>
        <w:autoSpaceDE w:val="0"/>
        <w:autoSpaceDN w:val="0"/>
        <w:adjustRightInd w:val="0"/>
        <w:spacing w:line="240" w:lineRule="auto"/>
        <w:ind w:right="34" w:firstLine="850"/>
        <w:jc w:val="both"/>
        <w:rPr>
          <w:lang w:val="lt-LT"/>
        </w:rPr>
      </w:pPr>
      <w:r>
        <w:rPr>
          <w:b/>
          <w:bCs/>
          <w:lang w:val="lt-LT"/>
        </w:rPr>
        <w:t xml:space="preserve">Kauno miesto savivaldybė, </w:t>
      </w:r>
      <w:r>
        <w:rPr>
          <w:lang w:val="lt-LT"/>
        </w:rPr>
        <w:t xml:space="preserve">atstovaujama Kauno miesto savivaldybės mero </w:t>
      </w:r>
      <w:r>
        <w:rPr>
          <w:b/>
          <w:bCs/>
          <w:lang w:val="lt-LT"/>
        </w:rPr>
        <w:t xml:space="preserve">Visvaldo Matijošaičio, </w:t>
      </w:r>
      <w:r>
        <w:rPr>
          <w:lang w:val="lt-LT"/>
        </w:rPr>
        <w:t>įgalioto Kauno miesto savivaldybės tarybos 2025 m. __________  sprendimu Nr. ______ „________“,</w:t>
      </w:r>
    </w:p>
    <w:p w14:paraId="5A7A4466">
      <w:pPr>
        <w:widowControl w:val="0"/>
        <w:autoSpaceDE w:val="0"/>
        <w:autoSpaceDN w:val="0"/>
        <w:adjustRightInd w:val="0"/>
        <w:spacing w:line="240" w:lineRule="auto"/>
        <w:ind w:right="34" w:firstLine="850"/>
        <w:jc w:val="both"/>
        <w:rPr>
          <w:lang w:val="lt-LT"/>
        </w:rPr>
      </w:pPr>
      <w:r>
        <w:rPr>
          <w:b/>
          <w:bCs/>
          <w:lang w:val="lt-LT"/>
        </w:rPr>
        <w:t>Kauno rajono savivaldybė</w:t>
      </w:r>
      <w:r>
        <w:rPr>
          <w:lang w:val="lt-LT"/>
        </w:rPr>
        <w:t xml:space="preserve">, atstovaujama Kauno rajono savivaldybės mero </w:t>
      </w:r>
      <w:r>
        <w:rPr>
          <w:rStyle w:val="10"/>
          <w:shd w:val="clear" w:color="auto" w:fill="FFFFFF"/>
          <w:lang w:val="lt-LT"/>
        </w:rPr>
        <w:t>Valerijaus Makūno</w:t>
      </w:r>
      <w:r>
        <w:rPr>
          <w:lang w:val="lt-LT"/>
        </w:rPr>
        <w:t>, įgalioto Kauno rajono savivaldybės tarybos 2025 m. ________  sprendimu Nr. ___ „________“,</w:t>
      </w:r>
    </w:p>
    <w:p w14:paraId="1F9EE296">
      <w:pPr>
        <w:widowControl w:val="0"/>
        <w:autoSpaceDE w:val="0"/>
        <w:autoSpaceDN w:val="0"/>
        <w:adjustRightInd w:val="0"/>
        <w:spacing w:line="240" w:lineRule="auto"/>
        <w:ind w:right="34" w:firstLine="850"/>
        <w:jc w:val="both"/>
        <w:rPr>
          <w:lang w:val="lt-LT"/>
        </w:rPr>
      </w:pPr>
      <w:r>
        <w:rPr>
          <w:b/>
          <w:bCs/>
          <w:lang w:val="lt-LT"/>
        </w:rPr>
        <w:t>Kėdainių rajono savivaldybė</w:t>
      </w:r>
      <w:r>
        <w:rPr>
          <w:lang w:val="lt-LT"/>
        </w:rPr>
        <w:t xml:space="preserve">, atstovaujama Kėdainių rajono savivaldybės mero </w:t>
      </w:r>
      <w:r>
        <w:rPr>
          <w:rStyle w:val="10"/>
          <w:shd w:val="clear" w:color="auto" w:fill="FFFFFF"/>
          <w:lang w:val="lt-LT"/>
        </w:rPr>
        <w:t>Valentino Tamulio</w:t>
      </w:r>
      <w:r>
        <w:rPr>
          <w:lang w:val="lt-LT"/>
        </w:rPr>
        <w:t>, įgalioto Kėdainių rajono savivaldybės tarybos 2025 m. ________  sprendimu Nr. ___ „________“,</w:t>
      </w:r>
    </w:p>
    <w:p w14:paraId="2D674CB1">
      <w:pPr>
        <w:widowControl w:val="0"/>
        <w:autoSpaceDE w:val="0"/>
        <w:autoSpaceDN w:val="0"/>
        <w:adjustRightInd w:val="0"/>
        <w:spacing w:line="240" w:lineRule="auto"/>
        <w:ind w:right="34" w:firstLine="850"/>
        <w:jc w:val="both"/>
        <w:rPr>
          <w:lang w:val="lt-LT"/>
        </w:rPr>
      </w:pPr>
      <w:r>
        <w:rPr>
          <w:b/>
          <w:bCs/>
          <w:lang w:val="lt-LT"/>
        </w:rPr>
        <w:t>Prienų rajono savivaldybė</w:t>
      </w:r>
      <w:r>
        <w:rPr>
          <w:lang w:val="lt-LT"/>
        </w:rPr>
        <w:t xml:space="preserve">, atstovaujama Prienų rajono savivaldybės mero </w:t>
      </w:r>
      <w:r>
        <w:rPr>
          <w:rStyle w:val="10"/>
          <w:shd w:val="clear" w:color="auto" w:fill="FFFFFF"/>
          <w:lang w:val="lt-LT"/>
        </w:rPr>
        <w:t>Alvydo Vaicekausko</w:t>
      </w:r>
      <w:r>
        <w:rPr>
          <w:lang w:val="lt-LT"/>
        </w:rPr>
        <w:t>, įgalioto Prienų rajono savivaldybės tarybos 2025 m. ________  sprendimu Nr. ___ „________“, ir</w:t>
      </w:r>
    </w:p>
    <w:p w14:paraId="6EF5DE9E">
      <w:pPr>
        <w:widowControl w:val="0"/>
        <w:autoSpaceDE w:val="0"/>
        <w:autoSpaceDN w:val="0"/>
        <w:adjustRightInd w:val="0"/>
        <w:spacing w:line="240" w:lineRule="auto"/>
        <w:ind w:right="34" w:firstLine="850"/>
        <w:jc w:val="both"/>
        <w:rPr>
          <w:lang w:val="lt-LT"/>
        </w:rPr>
      </w:pPr>
      <w:r>
        <w:rPr>
          <w:b/>
          <w:bCs/>
          <w:lang w:val="lt-LT"/>
        </w:rPr>
        <w:t>Raseinių rajono savivaldybė</w:t>
      </w:r>
      <w:r>
        <w:rPr>
          <w:lang w:val="lt-LT"/>
        </w:rPr>
        <w:t xml:space="preserve">, atstovaujama Raseinių rajono savivaldybės mero </w:t>
      </w:r>
      <w:r>
        <w:rPr>
          <w:rStyle w:val="10"/>
          <w:shd w:val="clear" w:color="auto" w:fill="FFFFFF"/>
          <w:lang w:val="lt-LT"/>
        </w:rPr>
        <w:t>Arvydo Nekrošiaus</w:t>
      </w:r>
      <w:r>
        <w:rPr>
          <w:lang w:val="lt-LT"/>
        </w:rPr>
        <w:t>, įgalioto Raseinių rajono savivaldybės tarybos 2025 m. ________  sprendimu Nr. ___ „________“,</w:t>
      </w:r>
    </w:p>
    <w:p w14:paraId="16192916">
      <w:pPr>
        <w:shd w:val="clear" w:color="auto" w:fill="FFFFFF"/>
        <w:spacing w:line="240" w:lineRule="auto"/>
        <w:ind w:right="34" w:firstLine="850"/>
        <w:jc w:val="both"/>
        <w:rPr>
          <w:bCs/>
          <w:lang w:val="lt-LT"/>
        </w:rPr>
      </w:pPr>
      <w:r>
        <w:rPr>
          <w:bCs/>
          <w:lang w:val="lt-LT"/>
        </w:rPr>
        <w:t xml:space="preserve">siekdamos iš dalies bendrai vykdyti savarankiškąją savivaldybių funkciją, sąlygų verslo ir turizmo plėtrai sudarymas ir šios veiklos skatinimas, apibrėžtą </w:t>
      </w:r>
      <w:r>
        <w:rPr>
          <w:bCs/>
          <w:i/>
          <w:iCs/>
          <w:lang w:val="lt-LT"/>
        </w:rPr>
        <w:t>Vietos savivaldos įstatymo 6 straipsnio 38 punkt</w:t>
      </w:r>
      <w:r>
        <w:rPr>
          <w:bCs/>
          <w:lang w:val="lt-LT"/>
        </w:rPr>
        <w:t xml:space="preserve">e, </w:t>
      </w:r>
    </w:p>
    <w:p w14:paraId="1CF3C931">
      <w:pPr>
        <w:shd w:val="clear" w:color="auto" w:fill="FFFFFF"/>
        <w:spacing w:line="240" w:lineRule="auto"/>
        <w:ind w:right="34" w:firstLine="850"/>
        <w:jc w:val="both"/>
        <w:rPr>
          <w:bCs/>
          <w:lang w:val="lt-LT"/>
        </w:rPr>
      </w:pPr>
      <w:r>
        <w:rPr>
          <w:bCs/>
          <w:lang w:val="lt-LT"/>
        </w:rPr>
        <w:t xml:space="preserve">ir didinti funkcinių zonų infrastruktūros ir paslaugų tinklo efektyvumą, užtikrinti, kad šia infrastruktūra ir paslaugomis galėtų naudotis visi gyventojai, kaip tai apibrėžta </w:t>
      </w:r>
      <w:r>
        <w:rPr>
          <w:bCs/>
          <w:i/>
          <w:iCs/>
          <w:lang w:val="lt-LT"/>
        </w:rPr>
        <w:t>Regioninės plėtros įstatymo 3 straipsnio 2 dalies 2 punkte,</w:t>
      </w:r>
      <w:r>
        <w:rPr>
          <w:bCs/>
          <w:lang w:val="lt-LT"/>
        </w:rPr>
        <w:t xml:space="preserve"> </w:t>
      </w:r>
    </w:p>
    <w:p w14:paraId="375A57BC">
      <w:pPr>
        <w:shd w:val="clear" w:color="auto" w:fill="FFFFFF"/>
        <w:spacing w:line="240" w:lineRule="auto"/>
        <w:ind w:right="34" w:firstLine="850"/>
        <w:jc w:val="both"/>
        <w:rPr>
          <w:lang w:val="lt-LT"/>
        </w:rPr>
      </w:pPr>
      <w:r>
        <w:rPr>
          <w:lang w:val="lt-LT"/>
        </w:rPr>
        <w:t xml:space="preserve">gera valia bei vadovaudamosi teisingumo, protingumo ir sąžiningumo principais, susitarėme ir sudarėme šią jungtinės veiklos sutartį (toliau - Sutartis), pagal kurią Kauno r. ir Raseinių r. savivaldybės vykdys dalies turizmo informacijos paslaugų teikimo koordinavimo funkciją ir bendradarbiaudamos su kitomis funkcinės zonos savivaldybėmis </w:t>
      </w:r>
      <w:bookmarkStart w:id="0" w:name="_Hlk188262541"/>
      <w:r>
        <w:rPr>
          <w:lang w:val="lt-LT"/>
        </w:rPr>
        <w:t>Birštono, Jonavos r., Kaišiadorių r., Kauno miesto, Kėdainių r. ir Prienų r.</w:t>
      </w:r>
      <w:bookmarkEnd w:id="0"/>
      <w:r>
        <w:rPr>
          <w:lang w:val="lt-LT"/>
        </w:rPr>
        <w:t xml:space="preserve"> užtikrins dalį turizmo informacijos centro funkcijų, nustatytų Lietuvos Respublikos turizmo įstatymo 30 straipsnio 2 dalyje:</w:t>
      </w:r>
    </w:p>
    <w:p w14:paraId="38251475">
      <w:pPr>
        <w:shd w:val="clear" w:color="auto" w:fill="FFFFFF"/>
        <w:spacing w:line="240" w:lineRule="auto"/>
        <w:ind w:right="34" w:firstLine="850"/>
        <w:jc w:val="both"/>
        <w:rPr>
          <w:lang w:val="lt-LT"/>
        </w:rPr>
      </w:pPr>
      <w:r>
        <w:rPr>
          <w:lang w:val="lt-LT"/>
        </w:rPr>
        <w:t>1) įgyvendins žinomumo ir patrauklumo didinimo priemones, skatinančias atvykstamojo ir vietinio turizmo plėtrą funkcinės zonos teritorijoje,</w:t>
      </w:r>
    </w:p>
    <w:p w14:paraId="018EA0F4">
      <w:pPr>
        <w:shd w:val="clear" w:color="auto" w:fill="FFFFFF"/>
        <w:spacing w:line="240" w:lineRule="auto"/>
        <w:ind w:right="34" w:firstLine="850"/>
        <w:jc w:val="both"/>
        <w:rPr>
          <w:lang w:val="lt-LT"/>
        </w:rPr>
      </w:pPr>
      <w:r>
        <w:rPr>
          <w:lang w:val="lt-LT"/>
        </w:rPr>
        <w:t>2) užtikrins efektyvią turizmo informacijos sklaidą funkcinės zonos teritorijoje – informuos keliautojus, turistus, lankytojus ir verslo subjektus apie turizmo paslaugas, turizmo išteklius, viešąją turizmo ir poilsio infrastruktūrą,</w:t>
      </w:r>
    </w:p>
    <w:p w14:paraId="7B2F5009">
      <w:pPr>
        <w:shd w:val="clear" w:color="auto" w:fill="FFFFFF"/>
        <w:spacing w:line="240" w:lineRule="auto"/>
        <w:ind w:right="34" w:firstLine="850"/>
        <w:jc w:val="both"/>
        <w:rPr>
          <w:lang w:val="lt-LT"/>
        </w:rPr>
      </w:pPr>
      <w:r>
        <w:rPr>
          <w:lang w:val="lt-LT"/>
        </w:rPr>
        <w:t xml:space="preserve">3) atliks kitas funkcijas, susijusias su funkcinės zonos, kaip turistinės vietovės, žinomumo didinimu, atvykstamojo ir vietinio turizmo plėtra funkcinės zonos teritorijoje, </w:t>
      </w:r>
    </w:p>
    <w:p w14:paraId="52E19725">
      <w:pPr>
        <w:shd w:val="clear" w:color="auto" w:fill="FFFFFF"/>
        <w:spacing w:line="240" w:lineRule="auto"/>
        <w:ind w:right="34" w:firstLine="850"/>
        <w:jc w:val="both"/>
        <w:rPr>
          <w:bCs/>
          <w:lang w:val="lt-LT"/>
        </w:rPr>
      </w:pPr>
      <w:r>
        <w:rPr>
          <w:lang w:val="lt-LT"/>
        </w:rPr>
        <w:t>ir susijusių su bendro Kauno regiono turizmo maršruto vystymu, žinomumo ir patrauklumo didinimo priemonių įgyvendinimu, atvykstamojo ir vietinio turizmo funkcinės zonos teritorijoje skatinimu bei efektyvios informacijos sklaidos užtikrinimu.</w:t>
      </w:r>
    </w:p>
    <w:p w14:paraId="7D603953">
      <w:pPr>
        <w:widowControl w:val="0"/>
        <w:autoSpaceDE w:val="0"/>
        <w:autoSpaceDN w:val="0"/>
        <w:adjustRightInd w:val="0"/>
        <w:spacing w:line="240" w:lineRule="auto"/>
        <w:ind w:right="34" w:firstLine="850"/>
        <w:jc w:val="both"/>
        <w:rPr>
          <w:lang w:val="lt-LT"/>
        </w:rPr>
      </w:pPr>
    </w:p>
    <w:p w14:paraId="2E14DBBB">
      <w:pPr>
        <w:widowControl w:val="0"/>
        <w:tabs>
          <w:tab w:val="left" w:pos="1680"/>
        </w:tabs>
        <w:autoSpaceDE w:val="0"/>
        <w:autoSpaceDN w:val="0"/>
        <w:adjustRightInd w:val="0"/>
        <w:spacing w:line="240" w:lineRule="auto"/>
        <w:ind w:right="34" w:firstLine="850"/>
        <w:jc w:val="center"/>
        <w:rPr>
          <w:b/>
          <w:lang w:val="lt-LT"/>
        </w:rPr>
      </w:pPr>
      <w:r>
        <w:rPr>
          <w:b/>
          <w:lang w:val="lt-LT"/>
        </w:rPr>
        <w:t>I. SUTARTIES OBJEKTAS</w:t>
      </w:r>
    </w:p>
    <w:p w14:paraId="7386D682">
      <w:pPr>
        <w:widowControl w:val="0"/>
        <w:tabs>
          <w:tab w:val="left" w:pos="1680"/>
        </w:tabs>
        <w:autoSpaceDE w:val="0"/>
        <w:autoSpaceDN w:val="0"/>
        <w:adjustRightInd w:val="0"/>
        <w:spacing w:line="240" w:lineRule="auto"/>
        <w:ind w:right="34" w:firstLine="850"/>
        <w:rPr>
          <w:bCs/>
          <w:lang w:val="lt-LT"/>
        </w:rPr>
      </w:pPr>
    </w:p>
    <w:p w14:paraId="1BCFD63C">
      <w:pPr>
        <w:widowControl w:val="0"/>
        <w:autoSpaceDE w:val="0"/>
        <w:autoSpaceDN w:val="0"/>
        <w:adjustRightInd w:val="0"/>
        <w:spacing w:line="240" w:lineRule="auto"/>
        <w:ind w:right="34" w:firstLine="850"/>
        <w:jc w:val="both"/>
        <w:rPr>
          <w:lang w:val="lt-LT"/>
        </w:rPr>
      </w:pPr>
      <w:r>
        <w:rPr>
          <w:lang w:val="lt-LT"/>
        </w:rPr>
        <w:t>1. Sutarties objektas – viešosios paslaugos teikimas – turistų ir lankytojų Kauno regiono funkcinėje zonoje informavimas.</w:t>
      </w:r>
    </w:p>
    <w:p w14:paraId="312426C4">
      <w:pPr>
        <w:widowControl w:val="0"/>
        <w:autoSpaceDE w:val="0"/>
        <w:autoSpaceDN w:val="0"/>
        <w:adjustRightInd w:val="0"/>
        <w:spacing w:line="240" w:lineRule="auto"/>
        <w:ind w:right="34" w:firstLine="850"/>
        <w:jc w:val="both"/>
        <w:rPr>
          <w:lang w:val="lt-LT"/>
        </w:rPr>
      </w:pPr>
      <w:r>
        <w:rPr>
          <w:lang w:val="lt-LT"/>
        </w:rPr>
        <w:t>2. Sutarties tikslas – didinti Kauno regiono funkcinės zonos infrastruktūros ir paslaugų tinklo efektyvumą, užtikrinti, kad šia infrastruktūra ir paslaugomis galėtų naudotis visi gyventojai ir turistai bei lankytojai.</w:t>
      </w:r>
    </w:p>
    <w:p w14:paraId="5786FC34">
      <w:pPr>
        <w:widowControl w:val="0"/>
        <w:autoSpaceDE/>
        <w:autoSpaceDN/>
        <w:adjustRightInd w:val="0"/>
        <w:spacing w:line="240" w:lineRule="auto"/>
        <w:ind w:right="34" w:firstLine="850"/>
        <w:jc w:val="both"/>
        <w:rPr>
          <w:lang w:val="lt-LT"/>
        </w:rPr>
      </w:pPr>
      <w:r>
        <w:rPr>
          <w:lang w:val="lt-LT"/>
        </w:rPr>
        <w:t>3. Šia sutartimi Šalys susitaria Kauno regiono funkcinėje zonoje teikti kokybiškas turistų informavimo paslaugas bendrai vykdant šias priemones:</w:t>
      </w:r>
    </w:p>
    <w:p w14:paraId="24F6FB61">
      <w:pPr>
        <w:pStyle w:val="11"/>
        <w:widowControl w:val="0"/>
        <w:numPr>
          <w:ilvl w:val="-1"/>
          <w:numId w:val="0"/>
        </w:numPr>
        <w:autoSpaceDE/>
        <w:autoSpaceDN/>
        <w:adjustRightInd w:val="0"/>
        <w:spacing w:line="240" w:lineRule="auto"/>
        <w:ind w:left="0" w:right="34" w:firstLine="850"/>
        <w:jc w:val="both"/>
        <w:rPr>
          <w:lang w:val="lt-LT"/>
        </w:rPr>
      </w:pPr>
      <w:r>
        <w:rPr>
          <w:rFonts w:hint="default"/>
          <w:lang w:val="lt-LT"/>
        </w:rPr>
        <w:t xml:space="preserve">3.1. </w:t>
      </w:r>
      <w:r>
        <w:rPr>
          <w:lang w:val="lt-LT"/>
        </w:rPr>
        <w:t>turistinio teminio maršruto, jungiančio funkcinės zonos gamtos ir kultūros objektus, sudarymas;</w:t>
      </w:r>
    </w:p>
    <w:p w14:paraId="0AE2CC0F">
      <w:pPr>
        <w:pStyle w:val="11"/>
        <w:widowControl w:val="0"/>
        <w:numPr>
          <w:ilvl w:val="-1"/>
          <w:numId w:val="0"/>
        </w:numPr>
        <w:autoSpaceDE/>
        <w:autoSpaceDN/>
        <w:adjustRightInd w:val="0"/>
        <w:spacing w:line="240" w:lineRule="auto"/>
        <w:ind w:left="0" w:right="34" w:firstLine="850"/>
        <w:jc w:val="both"/>
        <w:rPr>
          <w:lang w:val="lt-LT"/>
        </w:rPr>
      </w:pPr>
      <w:r>
        <w:rPr>
          <w:rFonts w:hint="default"/>
          <w:lang w:val="lt-LT"/>
        </w:rPr>
        <w:t xml:space="preserve">3.2. </w:t>
      </w:r>
      <w:r>
        <w:rPr>
          <w:lang w:val="lt-LT"/>
        </w:rPr>
        <w:t>komunikacinių ir viešinimo veiklų, viešinant Kauno regiono funkcinės zonos strategijos (toliau - Strategija) investiciniais veiksmais pritaikomus ir jau pritaikytus gamtos ir kultūros objektus, įgyvendinimas,</w:t>
      </w:r>
    </w:p>
    <w:p w14:paraId="68083D46">
      <w:pPr>
        <w:pStyle w:val="11"/>
        <w:widowControl w:val="0"/>
        <w:numPr>
          <w:ilvl w:val="-1"/>
          <w:numId w:val="0"/>
        </w:numPr>
        <w:autoSpaceDE/>
        <w:autoSpaceDN/>
        <w:adjustRightInd w:val="0"/>
        <w:spacing w:line="240" w:lineRule="auto"/>
        <w:ind w:left="0" w:right="34" w:firstLine="850"/>
        <w:jc w:val="both"/>
        <w:rPr>
          <w:lang w:val="lt-LT"/>
        </w:rPr>
      </w:pPr>
      <w:r>
        <w:rPr>
          <w:rFonts w:hint="default"/>
          <w:lang w:val="lt-LT"/>
        </w:rPr>
        <w:t>3.3.</w:t>
      </w:r>
      <w:r>
        <w:rPr>
          <w:lang w:val="lt-LT"/>
        </w:rPr>
        <w:t xml:space="preserve"> dalyvavimas parodose pristatant funkcinės zonos turistinius maršrutus, turizmo paslaugų paketus ir turizmo išteklius;</w:t>
      </w:r>
    </w:p>
    <w:p w14:paraId="7F60D617">
      <w:pPr>
        <w:pStyle w:val="11"/>
        <w:widowControl w:val="0"/>
        <w:numPr>
          <w:ilvl w:val="-1"/>
          <w:numId w:val="0"/>
        </w:numPr>
        <w:autoSpaceDE/>
        <w:autoSpaceDN/>
        <w:adjustRightInd w:val="0"/>
        <w:spacing w:line="240" w:lineRule="auto"/>
        <w:ind w:left="0" w:right="34" w:firstLine="850"/>
        <w:jc w:val="both"/>
        <w:rPr>
          <w:lang w:val="lt-LT"/>
        </w:rPr>
      </w:pPr>
      <w:r>
        <w:rPr>
          <w:rFonts w:hint="default"/>
          <w:lang w:val="lt-LT"/>
        </w:rPr>
        <w:t xml:space="preserve">3.4. </w:t>
      </w:r>
      <w:r>
        <w:rPr>
          <w:lang w:val="lt-LT"/>
        </w:rPr>
        <w:t>su turizmu susijusių renginių organizavimas;</w:t>
      </w:r>
    </w:p>
    <w:p w14:paraId="10AAD458">
      <w:pPr>
        <w:pStyle w:val="11"/>
        <w:widowControl w:val="0"/>
        <w:numPr>
          <w:ilvl w:val="-1"/>
          <w:numId w:val="0"/>
        </w:numPr>
        <w:autoSpaceDE/>
        <w:autoSpaceDN/>
        <w:adjustRightInd w:val="0"/>
        <w:spacing w:line="240" w:lineRule="auto"/>
        <w:ind w:left="0" w:right="34" w:firstLine="850"/>
        <w:jc w:val="both"/>
        <w:rPr>
          <w:lang w:val="lt-LT"/>
        </w:rPr>
      </w:pPr>
      <w:r>
        <w:rPr>
          <w:rFonts w:hint="default"/>
          <w:lang w:val="lt-LT"/>
        </w:rPr>
        <w:t>3.5.</w:t>
      </w:r>
      <w:r>
        <w:rPr>
          <w:lang w:val="lt-LT"/>
        </w:rPr>
        <w:t xml:space="preserve"> turizmo leidinių leidyba;</w:t>
      </w:r>
    </w:p>
    <w:p w14:paraId="6EFC22F1">
      <w:pPr>
        <w:pStyle w:val="11"/>
        <w:widowControl w:val="0"/>
        <w:numPr>
          <w:ilvl w:val="-1"/>
          <w:numId w:val="0"/>
        </w:numPr>
        <w:autoSpaceDE/>
        <w:autoSpaceDN/>
        <w:adjustRightInd w:val="0"/>
        <w:spacing w:line="240" w:lineRule="auto"/>
        <w:ind w:left="0" w:right="34" w:firstLine="850"/>
        <w:jc w:val="both"/>
        <w:rPr>
          <w:lang w:val="lt-LT"/>
        </w:rPr>
      </w:pPr>
      <w:r>
        <w:rPr>
          <w:rFonts w:hint="default"/>
          <w:lang w:val="lt-LT"/>
        </w:rPr>
        <w:t xml:space="preserve">3.6. </w:t>
      </w:r>
      <w:r>
        <w:rPr>
          <w:lang w:val="lt-LT"/>
        </w:rPr>
        <w:t>vieningo funkcinės zonos turistinio įvaizdžio palaikymas ir sklaida;</w:t>
      </w:r>
    </w:p>
    <w:p w14:paraId="2C341B78">
      <w:pPr>
        <w:pStyle w:val="11"/>
        <w:widowControl w:val="0"/>
        <w:numPr>
          <w:ilvl w:val="-1"/>
          <w:numId w:val="0"/>
        </w:numPr>
        <w:autoSpaceDE/>
        <w:autoSpaceDN/>
        <w:adjustRightInd w:val="0"/>
        <w:spacing w:line="240" w:lineRule="auto"/>
        <w:ind w:left="0" w:right="34" w:firstLine="850"/>
        <w:jc w:val="both"/>
        <w:rPr>
          <w:lang w:val="lt-LT"/>
        </w:rPr>
      </w:pPr>
      <w:r>
        <w:rPr>
          <w:rFonts w:hint="default"/>
          <w:lang w:val="lt-LT"/>
        </w:rPr>
        <w:t>3.7.</w:t>
      </w:r>
      <w:r>
        <w:rPr>
          <w:lang w:val="lt-LT"/>
        </w:rPr>
        <w:t xml:space="preserve"> informacijos apie viešosiomis paslaugomis pasinaudojusių asmenų skaičių rinkimas, sisteminimas ir analizė;</w:t>
      </w:r>
    </w:p>
    <w:p w14:paraId="2D8707F9">
      <w:pPr>
        <w:pStyle w:val="11"/>
        <w:widowControl w:val="0"/>
        <w:numPr>
          <w:ilvl w:val="-1"/>
          <w:numId w:val="0"/>
        </w:numPr>
        <w:autoSpaceDE/>
        <w:autoSpaceDN/>
        <w:adjustRightInd w:val="0"/>
        <w:spacing w:line="240" w:lineRule="auto"/>
        <w:ind w:left="0" w:right="34" w:firstLine="850"/>
        <w:jc w:val="both"/>
        <w:rPr>
          <w:lang w:val="lt-LT"/>
        </w:rPr>
      </w:pPr>
      <w:r>
        <w:rPr>
          <w:rFonts w:hint="default"/>
          <w:lang w:val="lt-LT"/>
        </w:rPr>
        <w:t xml:space="preserve">3.8. </w:t>
      </w:r>
      <w:r>
        <w:rPr>
          <w:lang w:val="lt-LT"/>
        </w:rPr>
        <w:t>kitos priemonės, jei jomis siekiama Sutarties tikslo ir šių priemonių įgyvendinimui pritarta Koordinacinėje darbo grupėje.</w:t>
      </w:r>
    </w:p>
    <w:p w14:paraId="02861896">
      <w:pPr>
        <w:widowControl w:val="0"/>
        <w:autoSpaceDE w:val="0"/>
        <w:autoSpaceDN w:val="0"/>
        <w:adjustRightInd w:val="0"/>
        <w:spacing w:line="240" w:lineRule="auto"/>
        <w:ind w:right="34" w:firstLine="850"/>
        <w:jc w:val="both"/>
        <w:rPr>
          <w:lang w:val="lt-LT"/>
        </w:rPr>
      </w:pPr>
    </w:p>
    <w:p w14:paraId="36AB7AF8">
      <w:pPr>
        <w:widowControl w:val="0"/>
        <w:autoSpaceDE w:val="0"/>
        <w:autoSpaceDN w:val="0"/>
        <w:adjustRightInd w:val="0"/>
        <w:spacing w:line="240" w:lineRule="auto"/>
        <w:ind w:right="34" w:firstLine="850"/>
        <w:jc w:val="center"/>
        <w:rPr>
          <w:b/>
          <w:lang w:val="lt-LT"/>
        </w:rPr>
      </w:pPr>
      <w:r>
        <w:rPr>
          <w:b/>
          <w:lang w:val="lt-LT"/>
        </w:rPr>
        <w:t>II. ŠALIŲ TEISĖS IR ĮSIPAREIGOJIMAI</w:t>
      </w:r>
    </w:p>
    <w:p w14:paraId="28028B20">
      <w:pPr>
        <w:widowControl w:val="0"/>
        <w:autoSpaceDE w:val="0"/>
        <w:autoSpaceDN w:val="0"/>
        <w:adjustRightInd w:val="0"/>
        <w:spacing w:line="240" w:lineRule="auto"/>
        <w:ind w:right="34" w:firstLine="850"/>
        <w:jc w:val="both"/>
        <w:rPr>
          <w:b/>
          <w:lang w:val="lt-LT"/>
        </w:rPr>
      </w:pPr>
    </w:p>
    <w:p w14:paraId="222E8DB6">
      <w:pPr>
        <w:pStyle w:val="9"/>
        <w:spacing w:before="0" w:beforeAutospacing="0" w:after="0" w:afterAutospacing="0" w:line="240" w:lineRule="auto"/>
        <w:ind w:firstLine="850"/>
        <w:jc w:val="both"/>
      </w:pPr>
      <w:r>
        <w:rPr>
          <w:rFonts w:eastAsiaTheme="minorEastAsia"/>
          <w:color w:val="000000" w:themeColor="text1"/>
          <w:kern w:val="24"/>
          <w14:textFill>
            <w14:solidFill>
              <w14:schemeClr w14:val="tx1"/>
            </w14:solidFill>
          </w14:textFill>
        </w:rPr>
        <w:t>4. Šalys sutaria, kad:</w:t>
      </w:r>
    </w:p>
    <w:p w14:paraId="6EFF4B04">
      <w:pPr>
        <w:pStyle w:val="9"/>
        <w:spacing w:before="0" w:beforeAutospacing="0" w:after="0" w:afterAutospacing="0" w:line="240" w:lineRule="auto"/>
        <w:ind w:firstLine="850"/>
        <w:jc w:val="both"/>
        <w:rPr>
          <w:rFonts w:eastAsiaTheme="minorEastAsia"/>
          <w:color w:val="000000" w:themeColor="text1"/>
          <w:kern w:val="24"/>
          <w14:textFill>
            <w14:solidFill>
              <w14:schemeClr w14:val="tx1"/>
            </w14:solidFill>
          </w14:textFill>
        </w:rPr>
      </w:pPr>
      <w:r>
        <w:rPr>
          <w:rFonts w:eastAsiaTheme="minorEastAsia"/>
          <w:color w:val="000000" w:themeColor="text1"/>
          <w:kern w:val="24"/>
          <w14:textFill>
            <w14:solidFill>
              <w14:schemeClr w14:val="tx1"/>
            </w14:solidFill>
          </w14:textFill>
        </w:rPr>
        <w:t>4.1. Koordinuojančioji savivaldybė yra Kauno rajono savivaldybė.</w:t>
      </w:r>
    </w:p>
    <w:p w14:paraId="01AB38F8">
      <w:pPr>
        <w:pStyle w:val="9"/>
        <w:spacing w:before="0" w:beforeAutospacing="0" w:after="0" w:afterAutospacing="0" w:line="240" w:lineRule="auto"/>
        <w:ind w:firstLine="850"/>
        <w:jc w:val="both"/>
      </w:pPr>
      <w:r>
        <w:t>4.2. Birštono, Kauno m., Kėdainių r., Kaišiadorių r., Jonavos r., Prienų r. ir Raseinių r. savivaldybės yra Partneriai.</w:t>
      </w:r>
    </w:p>
    <w:p w14:paraId="52EDD8BB">
      <w:pPr>
        <w:pStyle w:val="9"/>
        <w:spacing w:before="0" w:beforeAutospacing="0" w:after="0" w:afterAutospacing="0" w:line="240" w:lineRule="auto"/>
        <w:ind w:firstLine="850"/>
        <w:jc w:val="both"/>
      </w:pPr>
      <w:r>
        <w:rPr>
          <w:rFonts w:eastAsiaTheme="minorEastAsia"/>
          <w:color w:val="000000" w:themeColor="text1"/>
          <w:kern w:val="24"/>
          <w14:textFill>
            <w14:solidFill>
              <w14:schemeClr w14:val="tx1"/>
            </w14:solidFill>
          </w14:textFill>
        </w:rPr>
        <w:t>5. Koordinuojančiosios savivaldybės meras pagal Partnerių pateiktus delegavimo raštus sudaro Koordinacinę darbo grupę (kiekviena Šalis deleguoja po 2 (du) atstovus: 1 (vieną) iš savivaldybės ir 1 (vieną) iš turizmo ir verslo informacijos centro), tvirtina jos darbo reglamentą, Sutarties 3 punkte nurodytų priemonių metinio įgyvendinimo plano ir jo ataskaitos formas.</w:t>
      </w:r>
    </w:p>
    <w:p w14:paraId="09A05694">
      <w:pPr>
        <w:pStyle w:val="9"/>
        <w:spacing w:before="0" w:beforeAutospacing="0" w:after="0" w:afterAutospacing="0" w:line="240" w:lineRule="auto"/>
        <w:ind w:firstLine="850"/>
        <w:jc w:val="both"/>
      </w:pPr>
      <w:r>
        <w:rPr>
          <w:rFonts w:eastAsiaTheme="minorEastAsia"/>
          <w:color w:val="000000" w:themeColor="text1"/>
          <w:kern w:val="24"/>
          <w14:textFill>
            <w14:solidFill>
              <w14:schemeClr w14:val="tx1"/>
            </w14:solidFill>
          </w14:textFill>
        </w:rPr>
        <w:t>6. Koordinacinei darbo grupei pirmininkauja Koordinuojančios savivaldybės deleguotas atstovas.</w:t>
      </w:r>
    </w:p>
    <w:p w14:paraId="67261AAB">
      <w:pPr>
        <w:pStyle w:val="9"/>
        <w:spacing w:before="0" w:beforeAutospacing="0" w:after="0" w:afterAutospacing="0" w:line="240" w:lineRule="auto"/>
        <w:ind w:firstLine="850"/>
        <w:jc w:val="both"/>
      </w:pPr>
      <w:r>
        <w:rPr>
          <w:rFonts w:eastAsiaTheme="minorEastAsia"/>
          <w:color w:val="000000" w:themeColor="text1"/>
          <w:kern w:val="24"/>
          <w14:textFill>
            <w14:solidFill>
              <w14:schemeClr w14:val="tx1"/>
            </w14:solidFill>
          </w14:textFill>
        </w:rPr>
        <w:t>7. Koordinacinė darbo grupė:</w:t>
      </w:r>
    </w:p>
    <w:p w14:paraId="3BDA0716">
      <w:pPr>
        <w:pStyle w:val="11"/>
        <w:numPr>
          <w:ilvl w:val="-1"/>
          <w:numId w:val="0"/>
        </w:numPr>
        <w:spacing w:line="240" w:lineRule="auto"/>
        <w:ind w:left="0" w:firstLine="850"/>
        <w:jc w:val="both"/>
        <w:rPr>
          <w:lang w:val="lt-LT"/>
        </w:rPr>
      </w:pPr>
      <w:r>
        <w:rPr>
          <w:rFonts w:hint="default" w:eastAsiaTheme="minorEastAsia"/>
          <w:color w:val="000000" w:themeColor="text1"/>
          <w:kern w:val="24"/>
          <w:lang w:val="lt-LT"/>
          <w14:textFill>
            <w14:solidFill>
              <w14:schemeClr w14:val="tx1"/>
            </w14:solidFill>
          </w14:textFill>
        </w:rPr>
        <w:t xml:space="preserve">7.1. </w:t>
      </w:r>
      <w:r>
        <w:rPr>
          <w:rFonts w:eastAsiaTheme="minorEastAsia"/>
          <w:color w:val="000000" w:themeColor="text1"/>
          <w:kern w:val="24"/>
          <w:lang w:val="lt-LT"/>
          <w14:textFill>
            <w14:solidFill>
              <w14:schemeClr w14:val="tx1"/>
            </w14:solidFill>
          </w14:textFill>
        </w:rPr>
        <w:t>sudaro Sutarties 3 punkte nurodytų priemonių metinį įgyvendinimo planą, įskaitant ir kiekybinius šių priemonių įgyvendinimo rodiklius, ir koordinuoja šio plano įgyvendinimą;</w:t>
      </w:r>
    </w:p>
    <w:p w14:paraId="364E9F39">
      <w:pPr>
        <w:pStyle w:val="11"/>
        <w:numPr>
          <w:ilvl w:val="-1"/>
          <w:numId w:val="0"/>
        </w:numPr>
        <w:spacing w:line="240" w:lineRule="auto"/>
        <w:ind w:left="0" w:firstLine="850"/>
        <w:jc w:val="both"/>
        <w:rPr>
          <w:lang w:val="lt-LT"/>
        </w:rPr>
      </w:pPr>
      <w:r>
        <w:rPr>
          <w:rFonts w:hint="default" w:eastAsiaTheme="minorEastAsia"/>
          <w:color w:val="000000" w:themeColor="text1"/>
          <w:kern w:val="24"/>
          <w:lang w:val="lt-LT"/>
          <w14:textFill>
            <w14:solidFill>
              <w14:schemeClr w14:val="tx1"/>
            </w14:solidFill>
          </w14:textFill>
        </w:rPr>
        <w:t xml:space="preserve">7.2. </w:t>
      </w:r>
      <w:r>
        <w:rPr>
          <w:rFonts w:eastAsiaTheme="minorEastAsia"/>
          <w:color w:val="000000" w:themeColor="text1"/>
          <w:kern w:val="24"/>
          <w:lang w:val="lt-LT"/>
          <w14:textFill>
            <w14:solidFill>
              <w14:schemeClr w14:val="tx1"/>
            </w14:solidFill>
          </w14:textFill>
        </w:rPr>
        <w:t>teikia siūlymus Partneriams dėl jų įsteigtų įstaigų teikiamų turistų informavimo paslaugų tobulinimo;</w:t>
      </w:r>
    </w:p>
    <w:p w14:paraId="013F2B72">
      <w:pPr>
        <w:pStyle w:val="11"/>
        <w:numPr>
          <w:ilvl w:val="-1"/>
          <w:numId w:val="0"/>
        </w:numPr>
        <w:spacing w:line="240" w:lineRule="auto"/>
        <w:ind w:left="0" w:firstLine="850"/>
        <w:jc w:val="both"/>
        <w:rPr>
          <w:lang w:val="lt-LT"/>
        </w:rPr>
      </w:pPr>
      <w:r>
        <w:rPr>
          <w:rFonts w:hint="default" w:eastAsiaTheme="minorEastAsia"/>
          <w:color w:val="000000" w:themeColor="text1"/>
          <w:kern w:val="24"/>
          <w:lang w:val="lt-LT"/>
          <w14:textFill>
            <w14:solidFill>
              <w14:schemeClr w14:val="tx1"/>
            </w14:solidFill>
          </w14:textFill>
        </w:rPr>
        <w:t xml:space="preserve">7.3. </w:t>
      </w:r>
      <w:r>
        <w:rPr>
          <w:rFonts w:eastAsiaTheme="minorEastAsia"/>
          <w:color w:val="000000" w:themeColor="text1"/>
          <w:kern w:val="24"/>
          <w:lang w:val="lt-LT"/>
          <w14:textFill>
            <w14:solidFill>
              <w14:schemeClr w14:val="tx1"/>
            </w14:solidFill>
          </w14:textFill>
        </w:rPr>
        <w:t>pasibaigus kalendoriniams metams, ne vėliau kaip iki gegužės 1 d. Partneriams ir Kauno regiono plėtros tarybai teikia 3 punkte nurodytų priemonių metinio įgyvendinimo plano ataskaitą.</w:t>
      </w:r>
    </w:p>
    <w:p w14:paraId="6F7270CE">
      <w:pPr>
        <w:spacing w:line="240" w:lineRule="auto"/>
        <w:ind w:firstLine="850"/>
        <w:jc w:val="both"/>
        <w:rPr>
          <w:lang w:val="lt-LT"/>
        </w:rPr>
      </w:pPr>
      <w:r>
        <w:rPr>
          <w:rFonts w:eastAsiaTheme="minorEastAsia"/>
          <w:color w:val="000000" w:themeColor="text1"/>
          <w:kern w:val="24"/>
          <w:lang w:val="lt-LT"/>
          <w14:textFill>
            <w14:solidFill>
              <w14:schemeClr w14:val="tx1"/>
            </w14:solidFill>
          </w14:textFill>
        </w:rPr>
        <w:t>8. Šalys ir Šalių įstaigos įsipareigoja:</w:t>
      </w:r>
    </w:p>
    <w:p w14:paraId="145E781D">
      <w:pPr>
        <w:pStyle w:val="9"/>
        <w:spacing w:before="0" w:beforeAutospacing="0" w:after="0" w:afterAutospacing="0" w:line="240" w:lineRule="auto"/>
        <w:ind w:firstLine="850"/>
        <w:jc w:val="both"/>
        <w:rPr>
          <w:rFonts w:eastAsiaTheme="minorEastAsia"/>
          <w:color w:val="000000" w:themeColor="text1"/>
          <w:kern w:val="24"/>
          <w14:textFill>
            <w14:solidFill>
              <w14:schemeClr w14:val="tx1"/>
            </w14:solidFill>
          </w14:textFill>
        </w:rPr>
      </w:pPr>
      <w:r>
        <w:rPr>
          <w:rFonts w:eastAsiaTheme="minorEastAsia"/>
          <w:color w:val="000000" w:themeColor="text1"/>
          <w:kern w:val="24"/>
          <w14:textFill>
            <w14:solidFill>
              <w14:schemeClr w14:val="tx1"/>
            </w14:solidFill>
          </w14:textFill>
        </w:rPr>
        <w:t>8.1. Kauno rajono turizmo ir verslo informacijos centras iki 2029 m. rugpjūčio 31 d. sudaryti turistinį teminį maršrutą, jungiantį Kauno regiono gamtos ir kultūros objektus, ir parengti maršrutą sudarančių objektų aprašymą;</w:t>
      </w:r>
    </w:p>
    <w:p w14:paraId="51054F83">
      <w:pPr>
        <w:pStyle w:val="9"/>
        <w:spacing w:before="0" w:beforeAutospacing="0" w:after="0" w:afterAutospacing="0" w:line="240" w:lineRule="auto"/>
        <w:ind w:firstLine="850"/>
        <w:jc w:val="both"/>
        <w:rPr>
          <w:rFonts w:eastAsiaTheme="minorEastAsia"/>
          <w:color w:val="000000" w:themeColor="text1"/>
          <w:kern w:val="24"/>
          <w14:textFill>
            <w14:solidFill>
              <w14:schemeClr w14:val="tx1"/>
            </w14:solidFill>
          </w14:textFill>
        </w:rPr>
      </w:pPr>
      <w:r>
        <w:rPr>
          <w:rFonts w:eastAsiaTheme="minorEastAsia"/>
          <w:color w:val="000000" w:themeColor="text1"/>
          <w:kern w:val="24"/>
          <w14:textFill>
            <w14:solidFill>
              <w14:schemeClr w14:val="tx1"/>
            </w14:solidFill>
          </w14:textFill>
        </w:rPr>
        <w:t>8.2. Raseinių rajono turizmo ir verslo informacijos centro funkcijas vykdanti VšĮ „Atrask Raseinius“ iki 2029 m. rugpjūčio 31 d. parengti maršruto viešinimo – komunikacijos planą;</w:t>
      </w:r>
    </w:p>
    <w:p w14:paraId="4E2806DB">
      <w:pPr>
        <w:pStyle w:val="9"/>
        <w:spacing w:before="0" w:beforeAutospacing="0" w:after="0" w:afterAutospacing="0" w:line="240" w:lineRule="auto"/>
        <w:ind w:firstLine="850"/>
        <w:jc w:val="both"/>
      </w:pPr>
      <w:r>
        <w:t>8.3. Kauno rajono savivaldybės administracija iki 2029 m. rugpjūčio 31 d. įrengti turizmo informacijos centro padalinį Zapyškio mstl. su informacijos apie Kauno regiono turizmo maršrutą teikimo patalpa ir higienos patalpomis lankytojams;</w:t>
      </w:r>
    </w:p>
    <w:p w14:paraId="272D0685">
      <w:pPr>
        <w:pStyle w:val="9"/>
        <w:spacing w:before="0" w:beforeAutospacing="0" w:after="0" w:afterAutospacing="0" w:line="240" w:lineRule="auto"/>
        <w:ind w:firstLine="850"/>
        <w:jc w:val="both"/>
      </w:pPr>
      <w:r>
        <w:t>8.4. Raseinių rajono savivaldybės administracija iki 2029 m. rugpjūčio 31 d. įrengti Turizmo vartus į Kauno regioną Raseinių miesto aikštėje su informacijos apie Kauno regiono turizmo maršrutą teikimo patalpa ir higienos patalpomis lankytojams.</w:t>
      </w:r>
    </w:p>
    <w:p w14:paraId="65E42615">
      <w:pPr>
        <w:pStyle w:val="9"/>
        <w:spacing w:before="0" w:beforeAutospacing="0" w:after="0" w:afterAutospacing="0" w:line="240" w:lineRule="auto"/>
        <w:ind w:firstLine="850"/>
        <w:jc w:val="both"/>
      </w:pPr>
      <w:r>
        <w:rPr>
          <w:rFonts w:eastAsiaTheme="minorEastAsia"/>
          <w:color w:val="000000" w:themeColor="text1"/>
          <w:kern w:val="24"/>
          <w14:textFill>
            <w14:solidFill>
              <w14:schemeClr w14:val="tx1"/>
            </w14:solidFill>
          </w14:textFill>
        </w:rPr>
        <w:t>9. Koordinuojančioji savivaldybė įsipareigoja skirti materialinius, organizacinius, žmogiškuosius ir finansinius išteklius reikalingus užtikrinant Koordinacinės darbo grupės veiklą.</w:t>
      </w:r>
    </w:p>
    <w:p w14:paraId="31781A3B">
      <w:pPr>
        <w:pStyle w:val="9"/>
        <w:spacing w:before="0" w:beforeAutospacing="0" w:after="0" w:afterAutospacing="0" w:line="240" w:lineRule="auto"/>
        <w:ind w:firstLine="850"/>
        <w:jc w:val="both"/>
        <w:rPr>
          <w:rFonts w:eastAsiaTheme="minorEastAsia"/>
          <w:color w:val="000000" w:themeColor="text1"/>
          <w:kern w:val="24"/>
          <w14:textFill>
            <w14:solidFill>
              <w14:schemeClr w14:val="tx1"/>
            </w14:solidFill>
          </w14:textFill>
        </w:rPr>
      </w:pPr>
      <w:r>
        <w:rPr>
          <w:rFonts w:eastAsiaTheme="minorEastAsia"/>
          <w:color w:val="000000" w:themeColor="text1"/>
          <w:kern w:val="24"/>
          <w14:textFill>
            <w14:solidFill>
              <w14:schemeClr w14:val="tx1"/>
            </w14:solidFill>
          </w14:textFill>
        </w:rPr>
        <w:t>10. Visi Partneriai įsipareigoja:</w:t>
      </w:r>
    </w:p>
    <w:p w14:paraId="059376C3">
      <w:pPr>
        <w:pStyle w:val="9"/>
        <w:spacing w:before="0" w:beforeAutospacing="0" w:after="0" w:afterAutospacing="0" w:line="240" w:lineRule="auto"/>
        <w:ind w:firstLine="850"/>
        <w:jc w:val="both"/>
        <w:rPr>
          <w:rFonts w:eastAsiaTheme="minorEastAsia"/>
          <w:color w:val="000000" w:themeColor="text1"/>
          <w:kern w:val="24"/>
          <w14:textFill>
            <w14:solidFill>
              <w14:schemeClr w14:val="tx1"/>
            </w14:solidFill>
          </w14:textFill>
        </w:rPr>
      </w:pPr>
      <w:r>
        <w:rPr>
          <w:rFonts w:eastAsiaTheme="minorEastAsia"/>
          <w:color w:val="000000" w:themeColor="text1"/>
          <w:kern w:val="24"/>
          <w14:textFill>
            <w14:solidFill>
              <w14:schemeClr w14:val="tx1"/>
            </w14:solidFill>
          </w14:textFill>
        </w:rPr>
        <w:t>10.1. vykdyti metiniuose planuose numatytas priemones;</w:t>
      </w:r>
    </w:p>
    <w:p w14:paraId="6B61930B">
      <w:pPr>
        <w:pStyle w:val="9"/>
        <w:spacing w:before="0" w:beforeAutospacing="0" w:after="0" w:afterAutospacing="0" w:line="240" w:lineRule="auto"/>
        <w:ind w:firstLine="850"/>
        <w:jc w:val="both"/>
        <w:rPr>
          <w:rFonts w:eastAsiaTheme="minorEastAsia"/>
          <w:color w:val="000000" w:themeColor="text1"/>
          <w:kern w:val="24"/>
          <w14:textFill>
            <w14:solidFill>
              <w14:schemeClr w14:val="tx1"/>
            </w14:solidFill>
          </w14:textFill>
        </w:rPr>
      </w:pPr>
      <w:r>
        <w:rPr>
          <w:rFonts w:eastAsiaTheme="minorEastAsia"/>
          <w:color w:val="000000" w:themeColor="text1"/>
          <w:kern w:val="24"/>
          <w14:textFill>
            <w14:solidFill>
              <w14:schemeClr w14:val="tx1"/>
            </w14:solidFill>
          </w14:textFill>
        </w:rPr>
        <w:t>10.2. teikti informaciją reikalingą turistinio teminio maršruto ir jame esančių objektų aprašymui bei viešinimo - komunikacijos plano sudarymui;</w:t>
      </w:r>
    </w:p>
    <w:p w14:paraId="3AF92AE1">
      <w:pPr>
        <w:pStyle w:val="9"/>
        <w:spacing w:before="0" w:beforeAutospacing="0" w:after="0" w:afterAutospacing="0" w:line="240" w:lineRule="auto"/>
        <w:ind w:firstLine="850"/>
        <w:jc w:val="both"/>
        <w:rPr>
          <w:rFonts w:eastAsiaTheme="minorEastAsia"/>
          <w:color w:val="000000" w:themeColor="text1"/>
          <w:kern w:val="24"/>
          <w14:textFill>
            <w14:solidFill>
              <w14:schemeClr w14:val="tx1"/>
            </w14:solidFill>
          </w14:textFill>
        </w:rPr>
      </w:pPr>
      <w:r>
        <w:rPr>
          <w:rFonts w:eastAsiaTheme="minorEastAsia"/>
          <w:color w:val="000000" w:themeColor="text1"/>
          <w:kern w:val="24"/>
          <w14:textFill>
            <w14:solidFill>
              <w14:schemeClr w14:val="tx1"/>
            </w14:solidFill>
          </w14:textFill>
        </w:rPr>
        <w:t>10.3. pagal Koordinacinės darbo grupės sudarytą metinį įgyvendinimo planą skirti reikalingus išteklius 3 punkte nustatytų priemonių įgyvendinimui;</w:t>
      </w:r>
    </w:p>
    <w:p w14:paraId="4A202EBC">
      <w:pPr>
        <w:pStyle w:val="9"/>
        <w:spacing w:before="0" w:beforeAutospacing="0" w:after="0" w:afterAutospacing="0" w:line="240" w:lineRule="auto"/>
        <w:ind w:firstLine="850"/>
        <w:jc w:val="both"/>
      </w:pPr>
      <w:r>
        <w:rPr>
          <w:rFonts w:eastAsiaTheme="minorEastAsia"/>
          <w:color w:val="000000" w:themeColor="text1"/>
          <w:kern w:val="24"/>
          <w14:textFill>
            <w14:solidFill>
              <w14:schemeClr w14:val="tx1"/>
            </w14:solidFill>
          </w14:textFill>
        </w:rPr>
        <w:t>10.4. teikti informaciją Koordinuojančiajai savivaldybei Sutarties 3 punkte nurodytų priemonių metiniam įgyvendinimo planui ir jo ataskaitai parengti;</w:t>
      </w:r>
    </w:p>
    <w:p w14:paraId="3C521EDE">
      <w:pPr>
        <w:pStyle w:val="11"/>
        <w:spacing w:line="240" w:lineRule="auto"/>
        <w:ind w:left="0" w:firstLine="850"/>
        <w:jc w:val="both"/>
        <w:rPr>
          <w:lang w:val="lt-LT"/>
        </w:rPr>
      </w:pPr>
      <w:r>
        <w:rPr>
          <w:rFonts w:eastAsiaTheme="minorEastAsia"/>
          <w:color w:val="000000" w:themeColor="text1"/>
          <w:kern w:val="24"/>
          <w:lang w:val="pt-BR"/>
          <w14:textFill>
            <w14:solidFill>
              <w14:schemeClr w14:val="tx1"/>
            </w14:solidFill>
          </w14:textFill>
        </w:rPr>
        <w:t>10.5. teikti vienas kitam pagalbą visais organizaciniais ir administraciniais klausimais, susijusiais su šios Sutarties vykdymu;</w:t>
      </w:r>
    </w:p>
    <w:p w14:paraId="4CCB22FC">
      <w:pPr>
        <w:widowControl w:val="0"/>
        <w:autoSpaceDE w:val="0"/>
        <w:autoSpaceDN w:val="0"/>
        <w:adjustRightInd w:val="0"/>
        <w:spacing w:line="240" w:lineRule="auto"/>
        <w:ind w:right="34" w:firstLine="850"/>
        <w:jc w:val="both"/>
        <w:rPr>
          <w:lang w:val="lt-LT"/>
        </w:rPr>
      </w:pPr>
      <w:r>
        <w:rPr>
          <w:lang w:val="lt-LT"/>
        </w:rPr>
        <w:t>10.6. rinkti, kaupti ir nemokamai skleisti informaciją turistams apie turizmo paslaugas, lankytinus objektus Kauno regione taip pat rengti, leisti ir platinti informacinius bei kartografinius leidinius apie turizmo paslaugas, objektus ir vietoves.</w:t>
      </w:r>
    </w:p>
    <w:p w14:paraId="1BAFF011">
      <w:pPr>
        <w:widowControl w:val="0"/>
        <w:autoSpaceDE w:val="0"/>
        <w:autoSpaceDN w:val="0"/>
        <w:adjustRightInd w:val="0"/>
        <w:spacing w:line="240" w:lineRule="auto"/>
        <w:ind w:right="34" w:firstLine="850"/>
        <w:jc w:val="both"/>
        <w:rPr>
          <w:lang w:val="lt-LT"/>
        </w:rPr>
      </w:pPr>
      <w:r>
        <w:rPr>
          <w:lang w:val="lt-LT"/>
        </w:rPr>
        <w:t>11. Bendrus reikalus tvarko Koordinuojančioji savivaldybė.</w:t>
      </w:r>
    </w:p>
    <w:p w14:paraId="47998083">
      <w:pPr>
        <w:widowControl w:val="0"/>
        <w:autoSpaceDE w:val="0"/>
        <w:autoSpaceDN w:val="0"/>
        <w:adjustRightInd w:val="0"/>
        <w:spacing w:line="240" w:lineRule="auto"/>
        <w:ind w:right="34" w:firstLine="850"/>
        <w:jc w:val="both"/>
        <w:rPr>
          <w:lang w:val="lt-LT"/>
        </w:rPr>
      </w:pPr>
      <w:r>
        <w:rPr>
          <w:lang w:val="lt-LT"/>
        </w:rPr>
        <w:t>12. Esant santykiams su trečiaisiais asmenimis kiekvienas partneris veikia savarankiškai.</w:t>
      </w:r>
    </w:p>
    <w:p w14:paraId="66E3EE3D">
      <w:pPr>
        <w:widowControl w:val="0"/>
        <w:autoSpaceDE w:val="0"/>
        <w:autoSpaceDN w:val="0"/>
        <w:adjustRightInd w:val="0"/>
        <w:spacing w:line="240" w:lineRule="auto"/>
        <w:ind w:right="34" w:firstLine="850"/>
        <w:jc w:val="both"/>
        <w:rPr>
          <w:lang w:val="lt-LT"/>
        </w:rPr>
      </w:pPr>
      <w:r>
        <w:rPr>
          <w:lang w:val="lt-LT"/>
        </w:rPr>
        <w:t>13. Esant santykiams su trečiaisiais asmenimis, partneriai negali remtis sandorį sudariusio partnerio teisių veikti visų partnerių vardu apribojimu, išskyrus atvejus, kai jie įrodo, kad sandorio sudarymo metu trečiasis asmuo žinojo arba turėjo žinoti apie tokius apribojimus.</w:t>
      </w:r>
    </w:p>
    <w:p w14:paraId="51379365">
      <w:pPr>
        <w:widowControl w:val="0"/>
        <w:autoSpaceDE w:val="0"/>
        <w:autoSpaceDN w:val="0"/>
        <w:adjustRightInd w:val="0"/>
        <w:spacing w:line="240" w:lineRule="auto"/>
        <w:ind w:right="34" w:firstLine="850"/>
        <w:jc w:val="both"/>
        <w:rPr>
          <w:lang w:val="lt-LT"/>
        </w:rPr>
      </w:pPr>
      <w:r>
        <w:rPr>
          <w:lang w:val="lt-LT"/>
        </w:rPr>
        <w:t>14. Partneris, visų partnerių vardu sudaręs sandorį viršydamas jam suteiktus įgaliojimus arba visų partnerių interesais sudaręs sandorį savo vardu, turi teisę reikalauti iš kitų partnerių atlyginti savo padarytas išlaidas, jeigu įrodo, kad tie sandoriai buvo būtini norint apsaugoti kitų partnerių interesus. Partneriai, dėl tokių sandorių patyrę nuostolių, turi teisę reikalauti, kad partneris, sudaręs sandorius, šiuos nuostolius atlygintų.</w:t>
      </w:r>
    </w:p>
    <w:p w14:paraId="5C1E5F7C">
      <w:pPr>
        <w:widowControl w:val="0"/>
        <w:autoSpaceDE w:val="0"/>
        <w:autoSpaceDN w:val="0"/>
        <w:adjustRightInd w:val="0"/>
        <w:spacing w:line="240" w:lineRule="auto"/>
        <w:ind w:right="34" w:firstLine="850"/>
        <w:jc w:val="both"/>
        <w:rPr>
          <w:lang w:val="lt-LT"/>
        </w:rPr>
      </w:pPr>
      <w:r>
        <w:rPr>
          <w:lang w:val="lt-LT"/>
        </w:rPr>
        <w:t>15. Sprendimai, susiję su bendrais partnerių reikalais, priimami bendru partnerių sutarimu.</w:t>
      </w:r>
    </w:p>
    <w:p w14:paraId="1786824F">
      <w:pPr>
        <w:widowControl w:val="0"/>
        <w:autoSpaceDE w:val="0"/>
        <w:autoSpaceDN w:val="0"/>
        <w:adjustRightInd w:val="0"/>
        <w:spacing w:line="240" w:lineRule="auto"/>
        <w:ind w:right="34" w:firstLine="850"/>
        <w:jc w:val="both"/>
        <w:rPr>
          <w:lang w:val="lt-LT"/>
        </w:rPr>
      </w:pPr>
      <w:r>
        <w:rPr>
          <w:lang w:val="lt-LT"/>
        </w:rPr>
        <w:t>16. Kiekvienas partneris turi teisę susipažinti su bendrų reikalų tvarkymo dokumentais, nepaisant to, įgaliotas jis ar ne tvarkyti bendrus reikalus. Susitarimai, kurie šią teisę apriboja ar panaikina, negalioja.</w:t>
      </w:r>
    </w:p>
    <w:p w14:paraId="4DE1362C">
      <w:pPr>
        <w:widowControl w:val="0"/>
        <w:autoSpaceDE w:val="0"/>
        <w:autoSpaceDN w:val="0"/>
        <w:adjustRightInd w:val="0"/>
        <w:spacing w:line="240" w:lineRule="auto"/>
        <w:ind w:right="34" w:firstLine="850"/>
        <w:jc w:val="center"/>
        <w:rPr>
          <w:b/>
          <w:lang w:val="lt-LT"/>
        </w:rPr>
      </w:pPr>
    </w:p>
    <w:p w14:paraId="4857C3A1">
      <w:pPr>
        <w:widowControl w:val="0"/>
        <w:autoSpaceDE w:val="0"/>
        <w:autoSpaceDN w:val="0"/>
        <w:adjustRightInd w:val="0"/>
        <w:spacing w:line="240" w:lineRule="auto"/>
        <w:ind w:right="34" w:firstLine="850"/>
        <w:jc w:val="center"/>
        <w:rPr>
          <w:b/>
          <w:lang w:val="lt-LT"/>
        </w:rPr>
      </w:pPr>
      <w:r>
        <w:rPr>
          <w:b/>
          <w:lang w:val="lt-LT"/>
        </w:rPr>
        <w:t>III. ŠALIŲ ĮNAŠAI</w:t>
      </w:r>
    </w:p>
    <w:p w14:paraId="0766ED81">
      <w:pPr>
        <w:widowControl w:val="0"/>
        <w:autoSpaceDE w:val="0"/>
        <w:autoSpaceDN w:val="0"/>
        <w:adjustRightInd w:val="0"/>
        <w:spacing w:line="240" w:lineRule="auto"/>
        <w:ind w:right="34" w:firstLine="850"/>
        <w:jc w:val="both"/>
        <w:rPr>
          <w:b/>
          <w:lang w:val="lt-LT"/>
        </w:rPr>
      </w:pPr>
    </w:p>
    <w:p w14:paraId="7652A0E8">
      <w:pPr>
        <w:widowControl w:val="0"/>
        <w:autoSpaceDE w:val="0"/>
        <w:autoSpaceDN w:val="0"/>
        <w:adjustRightInd w:val="0"/>
        <w:spacing w:line="240" w:lineRule="auto"/>
        <w:ind w:right="34" w:firstLine="850"/>
        <w:jc w:val="both"/>
        <w:rPr>
          <w:bCs/>
          <w:lang w:val="lt-LT"/>
        </w:rPr>
      </w:pPr>
      <w:r>
        <w:rPr>
          <w:bCs/>
          <w:lang w:val="lt-LT"/>
        </w:rPr>
        <w:t>17. Šalių įnašai yra šie:</w:t>
      </w:r>
    </w:p>
    <w:p w14:paraId="20C7D2A1">
      <w:pPr>
        <w:widowControl w:val="0"/>
        <w:autoSpaceDE w:val="0"/>
        <w:autoSpaceDN w:val="0"/>
        <w:adjustRightInd w:val="0"/>
        <w:spacing w:line="240" w:lineRule="auto"/>
        <w:ind w:right="34" w:firstLine="850"/>
        <w:jc w:val="both"/>
        <w:rPr>
          <w:bCs/>
          <w:lang w:val="lt-LT"/>
        </w:rPr>
      </w:pPr>
      <w:r>
        <w:rPr>
          <w:bCs/>
          <w:lang w:val="lt-LT"/>
        </w:rPr>
        <w:t>17.1. Koordinuojančioji savivaldybė skiria žmogiškuosius išteklius Koordinacinės grupės veiklų organizavimui;</w:t>
      </w:r>
    </w:p>
    <w:p w14:paraId="27E3F83F">
      <w:pPr>
        <w:widowControl w:val="0"/>
        <w:autoSpaceDE w:val="0"/>
        <w:autoSpaceDN w:val="0"/>
        <w:adjustRightInd w:val="0"/>
        <w:spacing w:line="240" w:lineRule="auto"/>
        <w:ind w:right="34" w:firstLine="850"/>
        <w:jc w:val="both"/>
        <w:rPr>
          <w:bCs/>
          <w:lang w:val="lt-LT"/>
        </w:rPr>
      </w:pPr>
      <w:r>
        <w:rPr>
          <w:bCs/>
          <w:lang w:val="lt-LT"/>
        </w:rPr>
        <w:t>17.2. Kauno rajono ir Raseinių rajono savivaldybės skiria patalpas informacijos teikimui;</w:t>
      </w:r>
    </w:p>
    <w:p w14:paraId="5D2E2347">
      <w:pPr>
        <w:widowControl w:val="0"/>
        <w:autoSpaceDE w:val="0"/>
        <w:autoSpaceDN w:val="0"/>
        <w:adjustRightInd w:val="0"/>
        <w:spacing w:line="240" w:lineRule="auto"/>
        <w:ind w:right="34" w:firstLine="850"/>
        <w:jc w:val="both"/>
        <w:rPr>
          <w:bCs/>
          <w:lang w:val="lt-LT"/>
        </w:rPr>
      </w:pPr>
      <w:r>
        <w:rPr>
          <w:bCs/>
          <w:lang w:val="lt-LT"/>
        </w:rPr>
        <w:t>17.3. visos Šalys į bendrą veiklą įneša profesines ir kitas žinias, įgūdžius, dalykinę reputaciją ir dalykinius ryšius;</w:t>
      </w:r>
    </w:p>
    <w:p w14:paraId="291AE33F">
      <w:pPr>
        <w:widowControl w:val="0"/>
        <w:autoSpaceDE w:val="0"/>
        <w:autoSpaceDN w:val="0"/>
        <w:adjustRightInd w:val="0"/>
        <w:spacing w:line="240" w:lineRule="auto"/>
        <w:ind w:right="34" w:firstLine="850"/>
        <w:jc w:val="both"/>
        <w:rPr>
          <w:bCs/>
          <w:lang w:val="lt-LT"/>
        </w:rPr>
      </w:pPr>
      <w:r>
        <w:rPr>
          <w:bCs/>
          <w:lang w:val="lt-LT"/>
        </w:rPr>
        <w:t>17.4. Kauno miesto savivaldybė įsipareigoja Kauno miesto savivaldybės teritorijoje nemokamai skleisti informaciją turistams apie turizmo paslaugas, lankytinus objektus, platinti informacinius bei kartografinius leidinius apie turizmo paslaugas, objektus ir vietoves Kauno regione.</w:t>
      </w:r>
    </w:p>
    <w:p w14:paraId="49AC6658">
      <w:pPr>
        <w:widowControl w:val="0"/>
        <w:autoSpaceDE w:val="0"/>
        <w:autoSpaceDN w:val="0"/>
        <w:adjustRightInd w:val="0"/>
        <w:spacing w:line="240" w:lineRule="auto"/>
        <w:ind w:right="34" w:firstLine="850"/>
        <w:jc w:val="both"/>
        <w:rPr>
          <w:lang w:val="lt-LT"/>
        </w:rPr>
      </w:pPr>
      <w:r>
        <w:rPr>
          <w:lang w:val="lt-LT"/>
        </w:rPr>
        <w:t>18. Šalies lėšomis sukurtas turtas yra tos Šalies nuosavybė, o tais atvejais, kai jis sukurtas kooperuojant lėšas, jis yra bendroji dalinė nuosavybė ir priklauso Šalims pagal jų įneštą lėšų dalį.</w:t>
      </w:r>
    </w:p>
    <w:p w14:paraId="19631783">
      <w:pPr>
        <w:widowControl w:val="0"/>
        <w:autoSpaceDE w:val="0"/>
        <w:autoSpaceDN w:val="0"/>
        <w:adjustRightInd w:val="0"/>
        <w:spacing w:line="240" w:lineRule="auto"/>
        <w:ind w:right="34" w:firstLine="850"/>
        <w:jc w:val="both"/>
        <w:rPr>
          <w:lang w:val="lt-LT"/>
        </w:rPr>
      </w:pPr>
      <w:r>
        <w:rPr>
          <w:lang w:val="lt-LT"/>
        </w:rPr>
        <w:t>19. Už bendro turto apskaitą atsakinga Koordinuojančioji savivaldybė.</w:t>
      </w:r>
    </w:p>
    <w:p w14:paraId="047EB378">
      <w:pPr>
        <w:widowControl w:val="0"/>
        <w:autoSpaceDE w:val="0"/>
        <w:autoSpaceDN w:val="0"/>
        <w:adjustRightInd w:val="0"/>
        <w:spacing w:line="240" w:lineRule="auto"/>
        <w:ind w:right="34" w:firstLine="850"/>
        <w:jc w:val="both"/>
        <w:rPr>
          <w:lang w:val="lt-LT"/>
        </w:rPr>
      </w:pPr>
      <w:r>
        <w:rPr>
          <w:lang w:val="lt-LT"/>
        </w:rPr>
        <w:t>20. Bendras turtas naudojamas, valdomas ir juo disponuojama visų Šalių bendru sutarimu. Kilus ginčui, bet kurios iš Šalių reikalavimu šią tvarką nustato teismas.</w:t>
      </w:r>
    </w:p>
    <w:p w14:paraId="4C8A75B5">
      <w:pPr>
        <w:widowControl w:val="0"/>
        <w:autoSpaceDE w:val="0"/>
        <w:autoSpaceDN w:val="0"/>
        <w:adjustRightInd w:val="0"/>
        <w:spacing w:line="240" w:lineRule="auto"/>
        <w:ind w:right="34" w:firstLine="850"/>
        <w:jc w:val="both"/>
        <w:rPr>
          <w:i/>
          <w:iCs/>
          <w:lang w:val="lt-LT"/>
        </w:rPr>
      </w:pPr>
    </w:p>
    <w:p w14:paraId="5F73DCF6">
      <w:pPr>
        <w:widowControl w:val="0"/>
        <w:autoSpaceDE w:val="0"/>
        <w:autoSpaceDN w:val="0"/>
        <w:adjustRightInd w:val="0"/>
        <w:spacing w:line="240" w:lineRule="auto"/>
        <w:ind w:right="34" w:firstLine="850"/>
        <w:jc w:val="center"/>
        <w:rPr>
          <w:b/>
          <w:bCs/>
          <w:lang w:val="lt-LT"/>
        </w:rPr>
      </w:pPr>
      <w:r>
        <w:rPr>
          <w:b/>
          <w:bCs/>
          <w:lang w:val="lt-LT"/>
        </w:rPr>
        <w:t>IV. ŠALIŲ ATSAKOMYBĖ</w:t>
      </w:r>
    </w:p>
    <w:p w14:paraId="5DCA2A8D">
      <w:pPr>
        <w:widowControl w:val="0"/>
        <w:autoSpaceDE w:val="0"/>
        <w:autoSpaceDN w:val="0"/>
        <w:adjustRightInd w:val="0"/>
        <w:spacing w:line="240" w:lineRule="auto"/>
        <w:ind w:right="34" w:firstLine="850"/>
        <w:jc w:val="both"/>
        <w:rPr>
          <w:i/>
          <w:iCs/>
          <w:lang w:val="lt-LT"/>
        </w:rPr>
      </w:pPr>
    </w:p>
    <w:p w14:paraId="15ED93DC">
      <w:pPr>
        <w:widowControl w:val="0"/>
        <w:autoSpaceDE w:val="0"/>
        <w:autoSpaceDN w:val="0"/>
        <w:adjustRightInd w:val="0"/>
        <w:spacing w:line="240" w:lineRule="auto"/>
        <w:ind w:right="34" w:firstLine="850"/>
        <w:jc w:val="both"/>
        <w:rPr>
          <w:lang w:val="lt-LT"/>
        </w:rPr>
      </w:pPr>
      <w:r>
        <w:rPr>
          <w:lang w:val="lt-LT"/>
        </w:rPr>
        <w:t>21. Šalys atsako už jungtinėje veikloje naudojamo turtą ar nuostolius proporcingai turto turimos dalies dydžiui, o už savo turimo turto, kuris nėra bendroji dalinė nuosavybė, atsako kiekviena Šalis individualiai. Jei vykdant Sutartį nusprendžiama įsigyti ir (ar) pagerinti ilgalaikį turtą dėl to sudaromas atskiras susitarimas.</w:t>
      </w:r>
    </w:p>
    <w:p w14:paraId="32CBB539">
      <w:pPr>
        <w:widowControl w:val="0"/>
        <w:autoSpaceDE w:val="0"/>
        <w:autoSpaceDN w:val="0"/>
        <w:adjustRightInd w:val="0"/>
        <w:spacing w:line="240" w:lineRule="auto"/>
        <w:ind w:right="34" w:firstLine="850"/>
        <w:jc w:val="both"/>
        <w:rPr>
          <w:lang w:val="lt-LT"/>
        </w:rPr>
      </w:pPr>
      <w:r>
        <w:rPr>
          <w:lang w:val="lt-LT"/>
        </w:rPr>
        <w:t>22. Susitarimas, kuris visiškai atleidžia vieną iš Šalių nuo bendrų išlaidų ar nuostolių padengimo, negalioja.</w:t>
      </w:r>
    </w:p>
    <w:p w14:paraId="710A962A">
      <w:pPr>
        <w:widowControl w:val="0"/>
        <w:autoSpaceDE w:val="0"/>
        <w:autoSpaceDN w:val="0"/>
        <w:adjustRightInd w:val="0"/>
        <w:spacing w:line="240" w:lineRule="auto"/>
        <w:ind w:right="34" w:firstLine="850"/>
        <w:jc w:val="both"/>
        <w:rPr>
          <w:lang w:val="lt-LT"/>
        </w:rPr>
      </w:pPr>
      <w:r>
        <w:rPr>
          <w:lang w:val="lt-LT"/>
        </w:rPr>
        <w:t>23. Pagal bendras nesutartines prievoles Šalys atsako solidariai.</w:t>
      </w:r>
    </w:p>
    <w:p w14:paraId="40E5A600">
      <w:pPr>
        <w:spacing w:line="240" w:lineRule="auto"/>
        <w:ind w:firstLine="850"/>
        <w:rPr>
          <w:lang w:val="lt-LT"/>
        </w:rPr>
      </w:pPr>
    </w:p>
    <w:p w14:paraId="1CD2400C">
      <w:pPr>
        <w:widowControl w:val="0"/>
        <w:autoSpaceDE w:val="0"/>
        <w:autoSpaceDN w:val="0"/>
        <w:adjustRightInd w:val="0"/>
        <w:spacing w:line="240" w:lineRule="auto"/>
        <w:ind w:right="34" w:firstLine="850"/>
        <w:jc w:val="center"/>
        <w:rPr>
          <w:b/>
          <w:lang w:val="lt-LT"/>
        </w:rPr>
      </w:pPr>
      <w:r>
        <w:rPr>
          <w:b/>
          <w:lang w:val="lt-LT"/>
        </w:rPr>
        <w:t>V. ŠALIŲ PATVIRTINIMAI, GARANTIJOS IR ATSAKOMYBĖ</w:t>
      </w:r>
    </w:p>
    <w:p w14:paraId="1C5C2899">
      <w:pPr>
        <w:widowControl w:val="0"/>
        <w:autoSpaceDE w:val="0"/>
        <w:autoSpaceDN w:val="0"/>
        <w:adjustRightInd w:val="0"/>
        <w:spacing w:line="240" w:lineRule="auto"/>
        <w:ind w:right="34" w:firstLine="850"/>
        <w:jc w:val="center"/>
        <w:rPr>
          <w:b/>
          <w:lang w:val="lt-LT"/>
        </w:rPr>
      </w:pPr>
    </w:p>
    <w:p w14:paraId="0973CB9B">
      <w:pPr>
        <w:widowControl w:val="0"/>
        <w:autoSpaceDE w:val="0"/>
        <w:autoSpaceDN w:val="0"/>
        <w:adjustRightInd w:val="0"/>
        <w:spacing w:line="240" w:lineRule="auto"/>
        <w:ind w:right="34" w:firstLine="850"/>
        <w:jc w:val="both"/>
        <w:rPr>
          <w:lang w:val="lt-LT"/>
        </w:rPr>
      </w:pPr>
      <w:r>
        <w:rPr>
          <w:lang w:val="lt-LT"/>
        </w:rPr>
        <w:t>24. Kiekviena Šalis pareiškia, kad:</w:t>
      </w:r>
    </w:p>
    <w:p w14:paraId="3A56A7D7">
      <w:pPr>
        <w:widowControl w:val="0"/>
        <w:autoSpaceDE w:val="0"/>
        <w:autoSpaceDN w:val="0"/>
        <w:adjustRightInd w:val="0"/>
        <w:spacing w:line="240" w:lineRule="auto"/>
        <w:ind w:right="34" w:firstLine="850"/>
        <w:jc w:val="both"/>
        <w:rPr>
          <w:lang w:val="lt-LT"/>
        </w:rPr>
      </w:pPr>
      <w:r>
        <w:rPr>
          <w:lang w:val="lt-LT"/>
        </w:rPr>
        <w:t>24.1. Sutartis neprieštarauja jos tikslams;</w:t>
      </w:r>
    </w:p>
    <w:p w14:paraId="2971B53B">
      <w:pPr>
        <w:widowControl w:val="0"/>
        <w:autoSpaceDE w:val="0"/>
        <w:autoSpaceDN w:val="0"/>
        <w:adjustRightInd w:val="0"/>
        <w:spacing w:line="240" w:lineRule="auto"/>
        <w:ind w:right="34" w:firstLine="850"/>
        <w:jc w:val="both"/>
        <w:rPr>
          <w:lang w:val="lt-LT"/>
        </w:rPr>
      </w:pPr>
      <w:r>
        <w:rPr>
          <w:lang w:val="lt-LT"/>
        </w:rPr>
        <w:t>24.2. jai yra aiškiai žinomi visi faktai, susiję su Sutarties sudarymu ir / ar nulėmę Sutarties sudarymą būtent tokiomis sąlygomis, kurios yra išdėstytos Sutartyje;</w:t>
      </w:r>
    </w:p>
    <w:p w14:paraId="0A424EE9">
      <w:pPr>
        <w:widowControl w:val="0"/>
        <w:autoSpaceDE w:val="0"/>
        <w:autoSpaceDN w:val="0"/>
        <w:adjustRightInd w:val="0"/>
        <w:spacing w:line="240" w:lineRule="auto"/>
        <w:ind w:right="34" w:firstLine="850"/>
        <w:jc w:val="both"/>
        <w:rPr>
          <w:lang w:val="lt-LT"/>
        </w:rPr>
      </w:pPr>
      <w:r>
        <w:rPr>
          <w:lang w:val="lt-LT"/>
        </w:rPr>
        <w:t>24.3. yra susitarta dėl visų sąlygų, kurios buvo būtinos tam, kad Sutartis kiekvienos iš Šalių būtų laikoma sudaryta;</w:t>
      </w:r>
    </w:p>
    <w:p w14:paraId="2CD9F625">
      <w:pPr>
        <w:widowControl w:val="0"/>
        <w:autoSpaceDE w:val="0"/>
        <w:autoSpaceDN w:val="0"/>
        <w:adjustRightInd w:val="0"/>
        <w:spacing w:line="240" w:lineRule="auto"/>
        <w:ind w:right="34" w:firstLine="850"/>
        <w:jc w:val="both"/>
        <w:rPr>
          <w:lang w:val="lt-LT"/>
        </w:rPr>
      </w:pPr>
      <w:r>
        <w:rPr>
          <w:lang w:val="lt-LT"/>
        </w:rPr>
        <w:t>24.4. neturi jokių papildomų reikalavimų, susijusių su Sutarties įforminimu;</w:t>
      </w:r>
    </w:p>
    <w:p w14:paraId="40C4B771">
      <w:pPr>
        <w:widowControl w:val="0"/>
        <w:autoSpaceDE w:val="0"/>
        <w:autoSpaceDN w:val="0"/>
        <w:adjustRightInd w:val="0"/>
        <w:spacing w:line="240" w:lineRule="auto"/>
        <w:ind w:right="34" w:firstLine="850"/>
        <w:jc w:val="both"/>
        <w:rPr>
          <w:lang w:val="lt-LT"/>
        </w:rPr>
      </w:pPr>
      <w:r>
        <w:rPr>
          <w:lang w:val="lt-LT"/>
        </w:rPr>
        <w:t>24.5. veikia apdairiai ir yra tinkamai, išsamiai bei pakankamai informuota dėl šio Sutarties turinio bei jos esmės.</w:t>
      </w:r>
    </w:p>
    <w:p w14:paraId="55BE4743">
      <w:pPr>
        <w:widowControl w:val="0"/>
        <w:autoSpaceDE w:val="0"/>
        <w:autoSpaceDN w:val="0"/>
        <w:adjustRightInd w:val="0"/>
        <w:spacing w:line="240" w:lineRule="auto"/>
        <w:ind w:right="34" w:firstLine="850"/>
        <w:jc w:val="both"/>
        <w:rPr>
          <w:lang w:val="lt-LT"/>
        </w:rPr>
      </w:pPr>
      <w:r>
        <w:rPr>
          <w:lang w:val="lt-LT"/>
        </w:rPr>
        <w:t>25. Už Sutarties vykdymą, tinkamą Sutarties įgyvendinimą kiekviena Šalis atsako pagal Sutartyje prisiimtus įsipareigojimus.</w:t>
      </w:r>
    </w:p>
    <w:p w14:paraId="7FC0ADAD">
      <w:pPr>
        <w:widowControl w:val="0"/>
        <w:autoSpaceDE w:val="0"/>
        <w:autoSpaceDN w:val="0"/>
        <w:adjustRightInd w:val="0"/>
        <w:spacing w:line="240" w:lineRule="auto"/>
        <w:ind w:right="34" w:firstLine="850"/>
        <w:jc w:val="both"/>
        <w:rPr>
          <w:i/>
          <w:lang w:val="lt-LT"/>
        </w:rPr>
      </w:pPr>
      <w:r>
        <w:rPr>
          <w:lang w:val="lt-LT"/>
        </w:rPr>
        <w:t xml:space="preserve">26. Jei viena iš Sutarties Šalių visiškai ar iš dalies negali įvykdyti savo įsipareigojimų dėl aplinkybių, kurių priežastis yra nenugalima jėga </w:t>
      </w:r>
      <w:r>
        <w:rPr>
          <w:i/>
          <w:lang w:val="lt-LT"/>
        </w:rPr>
        <w:t>(Force majoure),</w:t>
      </w:r>
      <w:r>
        <w:rPr>
          <w:lang w:val="lt-LT"/>
        </w:rPr>
        <w:t xml:space="preserve"> tai sutartinių įsipareigojimų vykdymas atidedamas.</w:t>
      </w:r>
    </w:p>
    <w:p w14:paraId="315DC48A">
      <w:pPr>
        <w:widowControl w:val="0"/>
        <w:autoSpaceDE w:val="0"/>
        <w:autoSpaceDN w:val="0"/>
        <w:adjustRightInd w:val="0"/>
        <w:spacing w:line="240" w:lineRule="auto"/>
        <w:ind w:right="34" w:firstLine="850"/>
        <w:jc w:val="both"/>
        <w:rPr>
          <w:lang w:val="lt-LT"/>
        </w:rPr>
      </w:pPr>
    </w:p>
    <w:p w14:paraId="2875345D">
      <w:pPr>
        <w:widowControl w:val="0"/>
        <w:autoSpaceDE w:val="0"/>
        <w:autoSpaceDN w:val="0"/>
        <w:adjustRightInd w:val="0"/>
        <w:spacing w:line="240" w:lineRule="auto"/>
        <w:ind w:right="34" w:firstLine="850"/>
        <w:jc w:val="center"/>
        <w:rPr>
          <w:b/>
          <w:bCs/>
          <w:lang w:val="lt-LT"/>
        </w:rPr>
      </w:pPr>
      <w:r>
        <w:rPr>
          <w:b/>
          <w:bCs/>
          <w:lang w:val="lt-LT"/>
        </w:rPr>
        <w:t>VI. SUTARTIES GALIOJIMAS, KEITIMAS IR NUTRAUKIMAS</w:t>
      </w:r>
    </w:p>
    <w:p w14:paraId="26C61330">
      <w:pPr>
        <w:widowControl w:val="0"/>
        <w:autoSpaceDE w:val="0"/>
        <w:autoSpaceDN w:val="0"/>
        <w:adjustRightInd w:val="0"/>
        <w:spacing w:line="240" w:lineRule="auto"/>
        <w:ind w:right="34" w:firstLine="850"/>
        <w:jc w:val="both"/>
        <w:rPr>
          <w:b/>
          <w:i/>
          <w:lang w:val="lt-LT"/>
        </w:rPr>
      </w:pPr>
    </w:p>
    <w:p w14:paraId="6E310C3D">
      <w:pPr>
        <w:widowControl w:val="0"/>
        <w:autoSpaceDE w:val="0"/>
        <w:autoSpaceDN w:val="0"/>
        <w:adjustRightInd w:val="0"/>
        <w:spacing w:line="240" w:lineRule="auto"/>
        <w:ind w:right="34" w:firstLine="850"/>
        <w:jc w:val="both"/>
        <w:rPr>
          <w:bCs/>
          <w:iCs/>
          <w:lang w:val="lt-LT"/>
        </w:rPr>
      </w:pPr>
      <w:r>
        <w:rPr>
          <w:bCs/>
          <w:iCs/>
          <w:lang w:val="lt-LT"/>
        </w:rPr>
        <w:t>27. Sutartis neterminuota, išskyrus įsipareigojimus, nurodytus Sutarties 8 punkte.</w:t>
      </w:r>
    </w:p>
    <w:p w14:paraId="1ED9505B">
      <w:pPr>
        <w:widowControl w:val="0"/>
        <w:autoSpaceDE w:val="0"/>
        <w:autoSpaceDN w:val="0"/>
        <w:adjustRightInd w:val="0"/>
        <w:spacing w:line="240" w:lineRule="auto"/>
        <w:ind w:right="34" w:firstLine="850"/>
        <w:jc w:val="both"/>
        <w:rPr>
          <w:bCs/>
          <w:lang w:val="lt-LT"/>
        </w:rPr>
      </w:pPr>
      <w:r>
        <w:rPr>
          <w:bCs/>
          <w:iCs/>
          <w:lang w:val="lt-LT"/>
        </w:rPr>
        <w:t xml:space="preserve">28. </w:t>
      </w:r>
      <w:r>
        <w:rPr>
          <w:bCs/>
          <w:lang w:val="lt-LT"/>
        </w:rPr>
        <w:t>Jei sudarius turistinį teminį maršrutą Sutarties vykdymo metu atsiranda poreikis jį atnaujinti, sudaromas papildomas susitarimas, priedas prie Sutarties.</w:t>
      </w:r>
    </w:p>
    <w:p w14:paraId="4F049FF5">
      <w:pPr>
        <w:widowControl w:val="0"/>
        <w:autoSpaceDE w:val="0"/>
        <w:autoSpaceDN w:val="0"/>
        <w:adjustRightInd w:val="0"/>
        <w:spacing w:line="240" w:lineRule="auto"/>
        <w:ind w:right="34" w:firstLine="850"/>
        <w:jc w:val="both"/>
        <w:rPr>
          <w:bCs/>
          <w:iCs/>
          <w:lang w:val="lt-LT"/>
        </w:rPr>
      </w:pPr>
      <w:r>
        <w:rPr>
          <w:bCs/>
          <w:iCs/>
          <w:lang w:val="lt-LT"/>
        </w:rPr>
        <w:t>29. Jungtinės veiklos sutartis vienai iš Šalių baigiasi:</w:t>
      </w:r>
    </w:p>
    <w:p w14:paraId="31C98B0E">
      <w:pPr>
        <w:widowControl w:val="0"/>
        <w:autoSpaceDE w:val="0"/>
        <w:autoSpaceDN w:val="0"/>
        <w:adjustRightInd w:val="0"/>
        <w:spacing w:line="240" w:lineRule="auto"/>
        <w:ind w:right="34" w:firstLine="850"/>
        <w:jc w:val="both"/>
        <w:rPr>
          <w:bCs/>
          <w:iCs/>
          <w:lang w:val="lt-LT"/>
        </w:rPr>
      </w:pPr>
      <w:r>
        <w:rPr>
          <w:bCs/>
          <w:iCs/>
          <w:lang w:val="lt-LT"/>
        </w:rPr>
        <w:t>29.1. vienai iš Šalių atsisakius toliau būti neterminuotos jungtinės veiklos sutarties dalyviu;</w:t>
      </w:r>
    </w:p>
    <w:p w14:paraId="50A025A7">
      <w:pPr>
        <w:widowControl w:val="0"/>
        <w:autoSpaceDE w:val="0"/>
        <w:autoSpaceDN w:val="0"/>
        <w:adjustRightInd w:val="0"/>
        <w:spacing w:line="240" w:lineRule="auto"/>
        <w:ind w:right="34" w:firstLine="850"/>
        <w:jc w:val="both"/>
        <w:rPr>
          <w:bCs/>
          <w:iCs/>
          <w:lang w:val="lt-LT"/>
        </w:rPr>
      </w:pPr>
      <w:r>
        <w:rPr>
          <w:bCs/>
          <w:iCs/>
          <w:lang w:val="lt-LT"/>
        </w:rPr>
        <w:t>29.2. vienai iš Šalių reikalavimu nutraukus neterminuotą jungtinės veiklos sutartį;</w:t>
      </w:r>
    </w:p>
    <w:p w14:paraId="3BC6332D">
      <w:pPr>
        <w:widowControl w:val="0"/>
        <w:autoSpaceDE w:val="0"/>
        <w:autoSpaceDN w:val="0"/>
        <w:adjustRightInd w:val="0"/>
        <w:spacing w:line="240" w:lineRule="auto"/>
        <w:ind w:right="34" w:firstLine="850"/>
        <w:jc w:val="both"/>
        <w:rPr>
          <w:bCs/>
          <w:iCs/>
          <w:lang w:val="lt-LT"/>
        </w:rPr>
      </w:pPr>
      <w:r>
        <w:rPr>
          <w:bCs/>
          <w:iCs/>
          <w:lang w:val="lt-LT"/>
        </w:rPr>
        <w:t>29.3. kitais įstatymų numatytais atvejais.</w:t>
      </w:r>
    </w:p>
    <w:p w14:paraId="03C2DD6C">
      <w:pPr>
        <w:widowControl w:val="0"/>
        <w:autoSpaceDE w:val="0"/>
        <w:autoSpaceDN w:val="0"/>
        <w:adjustRightInd w:val="0"/>
        <w:spacing w:line="240" w:lineRule="auto"/>
        <w:ind w:right="34" w:firstLine="850"/>
        <w:jc w:val="both"/>
        <w:rPr>
          <w:bCs/>
          <w:iCs/>
          <w:lang w:val="lt-LT"/>
        </w:rPr>
      </w:pPr>
      <w:r>
        <w:rPr>
          <w:bCs/>
          <w:iCs/>
          <w:lang w:val="lt-LT"/>
        </w:rPr>
        <w:t>30. Viena iš Šalių turi teisę nutraukti Sutartį, jeigu:</w:t>
      </w:r>
    </w:p>
    <w:p w14:paraId="65B53047">
      <w:pPr>
        <w:widowControl w:val="0"/>
        <w:autoSpaceDE w:val="0"/>
        <w:autoSpaceDN w:val="0"/>
        <w:adjustRightInd w:val="0"/>
        <w:spacing w:line="240" w:lineRule="auto"/>
        <w:ind w:right="34" w:firstLine="850"/>
        <w:jc w:val="both"/>
        <w:rPr>
          <w:bCs/>
          <w:iCs/>
          <w:lang w:val="lt-LT"/>
        </w:rPr>
      </w:pPr>
      <w:r>
        <w:rPr>
          <w:bCs/>
          <w:iCs/>
          <w:lang w:val="lt-LT"/>
        </w:rPr>
        <w:t>30.1. kitos Šalys ją iš esmės pažeidžia;</w:t>
      </w:r>
    </w:p>
    <w:p w14:paraId="730A0EE6">
      <w:pPr>
        <w:widowControl w:val="0"/>
        <w:autoSpaceDE w:val="0"/>
        <w:autoSpaceDN w:val="0"/>
        <w:adjustRightInd w:val="0"/>
        <w:spacing w:line="240" w:lineRule="auto"/>
        <w:ind w:right="34" w:firstLine="850"/>
        <w:jc w:val="both"/>
        <w:rPr>
          <w:bCs/>
          <w:iCs/>
          <w:lang w:val="lt-LT"/>
        </w:rPr>
      </w:pPr>
      <w:r>
        <w:rPr>
          <w:bCs/>
          <w:iCs/>
          <w:lang w:val="lt-LT"/>
        </w:rPr>
        <w:t>30.2. viena iš Šalių dėl svarbių priežasčių nebegali jos vykdyti.</w:t>
      </w:r>
    </w:p>
    <w:p w14:paraId="7E5C4975">
      <w:pPr>
        <w:widowControl w:val="0"/>
        <w:autoSpaceDE w:val="0"/>
        <w:autoSpaceDN w:val="0"/>
        <w:adjustRightInd w:val="0"/>
        <w:spacing w:line="240" w:lineRule="auto"/>
        <w:ind w:right="34" w:firstLine="850"/>
        <w:jc w:val="both"/>
        <w:rPr>
          <w:bCs/>
          <w:iCs/>
          <w:lang w:val="lt-LT"/>
        </w:rPr>
      </w:pPr>
      <w:r>
        <w:rPr>
          <w:bCs/>
          <w:iCs/>
          <w:lang w:val="lt-LT"/>
        </w:rPr>
        <w:t>31. Šalis, norinti atsisakyti neterminuotos jungtinės veiklos sutarties, turi apie tai pranešti kitoms Šalims ne vėliau kaip prieš tris mėnesius iki numatomo pasitraukimo.</w:t>
      </w:r>
    </w:p>
    <w:p w14:paraId="63EA781A">
      <w:pPr>
        <w:widowControl w:val="0"/>
        <w:autoSpaceDE w:val="0"/>
        <w:autoSpaceDN w:val="0"/>
        <w:adjustRightInd w:val="0"/>
        <w:spacing w:line="240" w:lineRule="auto"/>
        <w:ind w:right="34" w:firstLine="850"/>
        <w:jc w:val="both"/>
        <w:rPr>
          <w:bCs/>
          <w:iCs/>
          <w:lang w:val="lt-LT"/>
        </w:rPr>
      </w:pPr>
      <w:r>
        <w:rPr>
          <w:bCs/>
          <w:iCs/>
          <w:lang w:val="lt-LT"/>
        </w:rPr>
        <w:t>32. Šalis, nutraukusi Sutartį arba pasitraukusi iš jos, turi atlyginti kitoms Šalims dėl Sutarties nutraukimo padarytus tiesioginius nuostolius.</w:t>
      </w:r>
    </w:p>
    <w:p w14:paraId="350E62AD">
      <w:pPr>
        <w:widowControl w:val="0"/>
        <w:autoSpaceDE w:val="0"/>
        <w:autoSpaceDN w:val="0"/>
        <w:adjustRightInd w:val="0"/>
        <w:spacing w:line="240" w:lineRule="auto"/>
        <w:ind w:right="34" w:firstLine="850"/>
        <w:jc w:val="both"/>
        <w:rPr>
          <w:bCs/>
          <w:iCs/>
          <w:lang w:val="lt-LT"/>
        </w:rPr>
      </w:pPr>
      <w:r>
        <w:rPr>
          <w:bCs/>
          <w:iCs/>
          <w:lang w:val="lt-LT"/>
        </w:rPr>
        <w:t>33. Vienai iš Šalių Sutartį nutraukus, Sutartis lieka galioti kitoms Šalims.</w:t>
      </w:r>
    </w:p>
    <w:p w14:paraId="7CE51A6D">
      <w:pPr>
        <w:widowControl w:val="0"/>
        <w:autoSpaceDE w:val="0"/>
        <w:autoSpaceDN w:val="0"/>
        <w:adjustRightInd w:val="0"/>
        <w:spacing w:line="240" w:lineRule="auto"/>
        <w:ind w:right="34" w:firstLine="850"/>
        <w:jc w:val="both"/>
        <w:rPr>
          <w:bCs/>
          <w:iCs/>
          <w:lang w:val="lt-LT"/>
        </w:rPr>
      </w:pPr>
      <w:r>
        <w:rPr>
          <w:bCs/>
          <w:iCs/>
          <w:lang w:val="lt-LT"/>
        </w:rPr>
        <w:t>34. Jeigu Sutartis buvo nutraukta vienai iš Šalių atsisakius toliau būti Sutarties dalyve ar vienos iš jų reikalavimu, Šalis, kuri nebėra Sutarties dalyvė, atsako tretiesiems asmenims pagal prievoles, atsiradusias jai esant Sutarties Šalimi, taip, kaip ji atsakytų būdama Šalimi.</w:t>
      </w:r>
    </w:p>
    <w:p w14:paraId="2597ADAF">
      <w:pPr>
        <w:widowControl w:val="0"/>
        <w:autoSpaceDE w:val="0"/>
        <w:autoSpaceDN w:val="0"/>
        <w:adjustRightInd w:val="0"/>
        <w:spacing w:line="240" w:lineRule="auto"/>
        <w:ind w:right="34" w:firstLine="850"/>
        <w:jc w:val="both"/>
        <w:rPr>
          <w:bCs/>
          <w:iCs/>
          <w:lang w:val="lt-LT"/>
        </w:rPr>
      </w:pPr>
      <w:r>
        <w:rPr>
          <w:bCs/>
          <w:iCs/>
          <w:lang w:val="lt-LT"/>
        </w:rPr>
        <w:t>35. Pasibaigus Sutarčiai, visoms Šalims bendrai naudoti perduoti daiktai grąžinami juos perdavusioms Šalims be atlyginimo, jeigu ko kita nenustato Šalių susitarimas.</w:t>
      </w:r>
    </w:p>
    <w:p w14:paraId="5621797D">
      <w:pPr>
        <w:widowControl w:val="0"/>
        <w:autoSpaceDE w:val="0"/>
        <w:autoSpaceDN w:val="0"/>
        <w:adjustRightInd w:val="0"/>
        <w:spacing w:line="240" w:lineRule="auto"/>
        <w:ind w:right="34" w:firstLine="850"/>
        <w:jc w:val="both"/>
        <w:rPr>
          <w:bCs/>
          <w:iCs/>
          <w:lang w:val="lt-LT"/>
        </w:rPr>
      </w:pPr>
      <w:r>
        <w:rPr>
          <w:bCs/>
          <w:iCs/>
          <w:lang w:val="lt-LT"/>
        </w:rPr>
        <w:t>36. Nuo Sutarties pabaigos momento jos Šalys solidariai atsako tretiesiems asmenims pagal neįvykdytas bendras prievoles.</w:t>
      </w:r>
    </w:p>
    <w:p w14:paraId="47721B12">
      <w:pPr>
        <w:widowControl w:val="0"/>
        <w:autoSpaceDE w:val="0"/>
        <w:autoSpaceDN w:val="0"/>
        <w:adjustRightInd w:val="0"/>
        <w:spacing w:line="240" w:lineRule="auto"/>
        <w:ind w:right="34" w:firstLine="850"/>
        <w:jc w:val="both"/>
        <w:rPr>
          <w:bCs/>
          <w:iCs/>
          <w:lang w:val="lt-LT"/>
        </w:rPr>
      </w:pPr>
      <w:r>
        <w:rPr>
          <w:bCs/>
          <w:iCs/>
          <w:lang w:val="lt-LT"/>
        </w:rPr>
        <w:t>37. Turtas, esantis bendrąja Šalių nuosavybe, pasibaigus jungtinės veiklos sutarčiai, padalijamas pagal  Lietuvos Respublikos Civilinio Kodekso ketvirtosios knygos nustatytas taisykles.</w:t>
      </w:r>
    </w:p>
    <w:p w14:paraId="3B73D9E0">
      <w:pPr>
        <w:widowControl w:val="0"/>
        <w:autoSpaceDE w:val="0"/>
        <w:autoSpaceDN w:val="0"/>
        <w:adjustRightInd w:val="0"/>
        <w:spacing w:line="240" w:lineRule="auto"/>
        <w:ind w:right="34" w:firstLine="850"/>
        <w:jc w:val="both"/>
        <w:rPr>
          <w:bCs/>
          <w:iCs/>
          <w:lang w:val="lt-LT"/>
        </w:rPr>
      </w:pPr>
      <w:r>
        <w:rPr>
          <w:bCs/>
          <w:iCs/>
          <w:lang w:val="lt-LT"/>
        </w:rPr>
        <w:t>38. Šalis, įnešusi individualiais požymiais apibūdintą daiktą, pasibaigus Sutarčiai turi teisę reikalauti grąžinti jai tą daiktą, jeigu dėl to nebus pažeisti kitų Šalių ir kreditorių interesai.</w:t>
      </w:r>
    </w:p>
    <w:p w14:paraId="2937E609">
      <w:pPr>
        <w:widowControl w:val="0"/>
        <w:autoSpaceDE w:val="0"/>
        <w:autoSpaceDN w:val="0"/>
        <w:adjustRightInd w:val="0"/>
        <w:spacing w:line="240" w:lineRule="auto"/>
        <w:ind w:right="34" w:firstLine="850"/>
        <w:jc w:val="both"/>
        <w:rPr>
          <w:b/>
          <w:i/>
          <w:lang w:val="lt-LT"/>
        </w:rPr>
      </w:pPr>
    </w:p>
    <w:p w14:paraId="65ACA1FB">
      <w:pPr>
        <w:widowControl w:val="0"/>
        <w:autoSpaceDE w:val="0"/>
        <w:autoSpaceDN w:val="0"/>
        <w:adjustRightInd w:val="0"/>
        <w:spacing w:line="240" w:lineRule="auto"/>
        <w:ind w:right="34" w:firstLine="850"/>
        <w:jc w:val="center"/>
        <w:rPr>
          <w:b/>
          <w:iCs/>
          <w:lang w:val="lt-LT"/>
        </w:rPr>
      </w:pPr>
      <w:r>
        <w:rPr>
          <w:b/>
          <w:iCs/>
          <w:lang w:val="lt-LT"/>
        </w:rPr>
        <w:t>VII. NENUGALIMA JĖGA</w:t>
      </w:r>
    </w:p>
    <w:p w14:paraId="2BE6CFBB">
      <w:pPr>
        <w:widowControl w:val="0"/>
        <w:autoSpaceDE w:val="0"/>
        <w:autoSpaceDN w:val="0"/>
        <w:adjustRightInd w:val="0"/>
        <w:spacing w:line="240" w:lineRule="auto"/>
        <w:ind w:right="34" w:firstLine="850"/>
        <w:jc w:val="center"/>
        <w:rPr>
          <w:b/>
          <w:iCs/>
          <w:lang w:val="lt-LT"/>
        </w:rPr>
      </w:pPr>
    </w:p>
    <w:p w14:paraId="3F4A6B50">
      <w:pPr>
        <w:tabs>
          <w:tab w:val="left" w:pos="709"/>
        </w:tabs>
        <w:spacing w:line="240" w:lineRule="auto"/>
        <w:ind w:firstLine="850"/>
        <w:jc w:val="both"/>
        <w:rPr>
          <w:rFonts w:eastAsia="Calibri"/>
          <w:lang w:val="lt-LT"/>
        </w:rPr>
      </w:pPr>
      <w:r>
        <w:rPr>
          <w:rFonts w:eastAsia="Calibri"/>
          <w:lang w:val="lt-LT"/>
        </w:rPr>
        <w:t>39. Šalys atleidžiamos nuo atsakomybės už šios Sutarties sąlygų nevykdymą, jeigu įrodo, kad šios Sutarties sąlygos nebuvo vykdomos dėl nenugalimos jėgos (</w:t>
      </w:r>
      <w:r>
        <w:rPr>
          <w:rFonts w:eastAsia="Calibri"/>
          <w:i/>
          <w:lang w:val="lt-LT"/>
        </w:rPr>
        <w:t>force majeure</w:t>
      </w:r>
      <w:r>
        <w:rPr>
          <w:rFonts w:eastAsia="Calibri"/>
          <w:lang w:val="lt-LT"/>
        </w:rPr>
        <w:t xml:space="preserve">) Lietuvos Respublikos civilinio kodekso </w:t>
      </w:r>
      <w:r>
        <w:rPr>
          <w:rFonts w:eastAsia="Calibri"/>
          <w:i/>
          <w:lang w:val="lt-LT"/>
        </w:rPr>
        <w:t>mutatis mutandis</w:t>
      </w:r>
      <w:r>
        <w:rPr>
          <w:rFonts w:eastAsia="Calibri"/>
          <w:lang w:val="lt-LT"/>
        </w:rPr>
        <w:t xml:space="preserve"> 6.212 ir 6.253 straipsniuose nurodytų aplinkybių ir tos aplinkybės atsirado iki tų sąlygų įvykdymo termino suėjimo.</w:t>
      </w:r>
    </w:p>
    <w:p w14:paraId="2503B0E2">
      <w:pPr>
        <w:tabs>
          <w:tab w:val="left" w:pos="709"/>
        </w:tabs>
        <w:spacing w:line="240" w:lineRule="auto"/>
        <w:ind w:firstLine="850"/>
        <w:jc w:val="both"/>
        <w:rPr>
          <w:rFonts w:eastAsia="Calibri"/>
          <w:lang w:val="lt-LT"/>
        </w:rPr>
      </w:pPr>
      <w:r>
        <w:rPr>
          <w:rFonts w:eastAsia="Calibri"/>
          <w:lang w:val="lt-LT"/>
        </w:rPr>
        <w:t xml:space="preserve">40. Šalis, kuri dėl susidariusių </w:t>
      </w:r>
      <w:r>
        <w:rPr>
          <w:rFonts w:eastAsia="Calibri"/>
          <w:i/>
          <w:lang w:val="lt-LT"/>
        </w:rPr>
        <w:t xml:space="preserve">force majeure </w:t>
      </w:r>
      <w:r>
        <w:rPr>
          <w:rFonts w:eastAsia="Calibri"/>
          <w:lang w:val="lt-LT"/>
        </w:rPr>
        <w:t xml:space="preserve">aplinkybių nebegali toliau vykdyti savo įsipareigojimų pagal šią Sutartį, privalo apie tai kuo skubiau, bet ne vėliau kaip per 7 kalendorines dienas nuo </w:t>
      </w:r>
      <w:r>
        <w:rPr>
          <w:rFonts w:eastAsia="Calibri"/>
          <w:i/>
          <w:lang w:val="lt-LT"/>
        </w:rPr>
        <w:t xml:space="preserve">force majeure </w:t>
      </w:r>
      <w:r>
        <w:rPr>
          <w:rFonts w:eastAsia="Calibri"/>
          <w:lang w:val="lt-LT"/>
        </w:rPr>
        <w:t xml:space="preserve">aplinkybių atsiradimo, žodžiu ir raštu pranešti kitoms Šalims. Jeigu dėl </w:t>
      </w:r>
      <w:r>
        <w:rPr>
          <w:rFonts w:eastAsia="Calibri"/>
          <w:i/>
          <w:lang w:val="lt-LT"/>
        </w:rPr>
        <w:t xml:space="preserve">force majeure </w:t>
      </w:r>
      <w:r>
        <w:rPr>
          <w:rFonts w:eastAsia="Calibri"/>
          <w:lang w:val="lt-LT"/>
        </w:rPr>
        <w:t xml:space="preserve">aplinkybių savo įsipareigojimų pagal šią Sutartį negalinti vykdyti Šalis nepraneša arba netinkamai praneša kitoms Šalims, ji privalo kompensuoti kitoms Šalims visus dėl tokio nepranešimo atsiradusius nuostolius. </w:t>
      </w:r>
    </w:p>
    <w:p w14:paraId="3804C564">
      <w:pPr>
        <w:widowControl w:val="0"/>
        <w:autoSpaceDE w:val="0"/>
        <w:autoSpaceDN w:val="0"/>
        <w:adjustRightInd w:val="0"/>
        <w:spacing w:line="240" w:lineRule="auto"/>
        <w:ind w:right="34" w:firstLine="850"/>
        <w:jc w:val="center"/>
        <w:rPr>
          <w:b/>
          <w:iCs/>
          <w:lang w:val="lt-LT"/>
        </w:rPr>
      </w:pPr>
    </w:p>
    <w:p w14:paraId="3B07DCD2">
      <w:pPr>
        <w:widowControl w:val="0"/>
        <w:autoSpaceDE w:val="0"/>
        <w:autoSpaceDN w:val="0"/>
        <w:adjustRightInd w:val="0"/>
        <w:spacing w:line="240" w:lineRule="auto"/>
        <w:ind w:right="34" w:firstLine="850"/>
        <w:jc w:val="center"/>
        <w:rPr>
          <w:b/>
          <w:iCs/>
          <w:lang w:val="lt-LT"/>
        </w:rPr>
      </w:pPr>
      <w:r>
        <w:rPr>
          <w:b/>
          <w:iCs/>
          <w:lang w:val="lt-LT"/>
        </w:rPr>
        <w:t>VIII. TAIKYTINA TEISĖ IR GINČŲ SPRENDIMAS</w:t>
      </w:r>
    </w:p>
    <w:p w14:paraId="5AD7F3AC">
      <w:pPr>
        <w:widowControl w:val="0"/>
        <w:autoSpaceDE w:val="0"/>
        <w:autoSpaceDN w:val="0"/>
        <w:adjustRightInd w:val="0"/>
        <w:spacing w:line="240" w:lineRule="auto"/>
        <w:ind w:right="34" w:firstLine="850"/>
        <w:jc w:val="center"/>
        <w:rPr>
          <w:b/>
          <w:iCs/>
          <w:lang w:val="lt-LT"/>
        </w:rPr>
      </w:pPr>
    </w:p>
    <w:p w14:paraId="44603698">
      <w:pPr>
        <w:spacing w:line="240" w:lineRule="auto"/>
        <w:ind w:firstLine="850"/>
        <w:jc w:val="both"/>
        <w:rPr>
          <w:rFonts w:eastAsia="Calibri"/>
          <w:lang w:val="pt-BR"/>
        </w:rPr>
      </w:pPr>
      <w:r>
        <w:rPr>
          <w:rFonts w:eastAsia="Calibri"/>
          <w:lang w:val="pt-BR"/>
        </w:rPr>
        <w:t>41. Ši Sutartis vykdoma vadovaujantis Lietuvos Respublikos teisės aktais.</w:t>
      </w:r>
    </w:p>
    <w:p w14:paraId="3A1B41D5">
      <w:pPr>
        <w:tabs>
          <w:tab w:val="left" w:pos="993"/>
        </w:tabs>
        <w:spacing w:line="240" w:lineRule="auto"/>
        <w:ind w:firstLine="850"/>
        <w:jc w:val="both"/>
        <w:rPr>
          <w:rFonts w:eastAsia="Calibri"/>
          <w:lang w:val="pt-BR"/>
        </w:rPr>
      </w:pPr>
      <w:r>
        <w:rPr>
          <w:rFonts w:eastAsia="Calibri"/>
          <w:lang w:val="pt-BR"/>
        </w:rPr>
        <w:t>42. Šalių ginčai, kilę dėl jos vykdymo, sprendžiami Šalių derybomis. Jei Šalių tarpusavio ginčų nepavyksta išspręsti taikiai per 30 (trisdešimt) dienų, ginčai sprendžiami Lietuvos Respublikos teisme Lietuvos Respublikos teisės aktų nustatyta tvarka.</w:t>
      </w:r>
    </w:p>
    <w:p w14:paraId="632EDC6C">
      <w:pPr>
        <w:widowControl w:val="0"/>
        <w:autoSpaceDE w:val="0"/>
        <w:autoSpaceDN w:val="0"/>
        <w:adjustRightInd w:val="0"/>
        <w:spacing w:line="240" w:lineRule="auto"/>
        <w:ind w:right="34" w:firstLine="850"/>
        <w:jc w:val="both"/>
        <w:rPr>
          <w:bCs/>
          <w:iCs/>
          <w:lang w:val="pt-BR"/>
        </w:rPr>
      </w:pPr>
    </w:p>
    <w:p w14:paraId="72FDDD64">
      <w:pPr>
        <w:widowControl w:val="0"/>
        <w:autoSpaceDE w:val="0"/>
        <w:autoSpaceDN w:val="0"/>
        <w:adjustRightInd w:val="0"/>
        <w:spacing w:line="240" w:lineRule="auto"/>
        <w:ind w:right="34" w:firstLine="850"/>
        <w:jc w:val="center"/>
        <w:rPr>
          <w:b/>
          <w:lang w:val="lt-LT"/>
        </w:rPr>
      </w:pPr>
      <w:r>
        <w:rPr>
          <w:b/>
          <w:lang w:val="lt-LT"/>
        </w:rPr>
        <w:t>IX. BAIGIAMOSIOS NUOSTATOS</w:t>
      </w:r>
    </w:p>
    <w:p w14:paraId="62445857">
      <w:pPr>
        <w:widowControl w:val="0"/>
        <w:autoSpaceDE w:val="0"/>
        <w:autoSpaceDN w:val="0"/>
        <w:adjustRightInd w:val="0"/>
        <w:spacing w:line="240" w:lineRule="auto"/>
        <w:ind w:right="34" w:firstLine="850"/>
        <w:jc w:val="both"/>
        <w:rPr>
          <w:b/>
          <w:i/>
          <w:lang w:val="lt-LT"/>
        </w:rPr>
      </w:pPr>
    </w:p>
    <w:p w14:paraId="17DAD5A8">
      <w:pPr>
        <w:widowControl w:val="0"/>
        <w:autoSpaceDE w:val="0"/>
        <w:autoSpaceDN w:val="0"/>
        <w:adjustRightInd w:val="0"/>
        <w:spacing w:line="240" w:lineRule="auto"/>
        <w:ind w:right="34" w:firstLine="850"/>
        <w:jc w:val="both"/>
        <w:rPr>
          <w:lang w:val="lt-LT"/>
        </w:rPr>
      </w:pPr>
      <w:r>
        <w:rPr>
          <w:lang w:val="lt-LT"/>
        </w:rPr>
        <w:t xml:space="preserve">43. </w:t>
      </w:r>
      <w:r>
        <w:rPr>
          <w:bCs/>
          <w:lang w:val="lt-LT"/>
        </w:rPr>
        <w:t>Sutartis sudaroma aštuoniais egzemplioriais, turinčiais vienodą juridinę galią, – po vieną kiekvienai Šaliai arba vienu elektroniniu dokumentu, pasirašytu kvalifikuotu elektroniniu parašu</w:t>
      </w:r>
      <w:r>
        <w:rPr>
          <w:lang w:val="lt-LT"/>
        </w:rPr>
        <w:t>.</w:t>
      </w:r>
    </w:p>
    <w:p w14:paraId="4E822F63">
      <w:pPr>
        <w:widowControl w:val="0"/>
        <w:autoSpaceDE w:val="0"/>
        <w:autoSpaceDN w:val="0"/>
        <w:adjustRightInd w:val="0"/>
        <w:spacing w:line="240" w:lineRule="auto"/>
        <w:ind w:right="34" w:firstLine="850"/>
        <w:jc w:val="both"/>
        <w:rPr>
          <w:lang w:val="lt-LT"/>
        </w:rPr>
      </w:pPr>
      <w:r>
        <w:rPr>
          <w:lang w:val="lt-LT"/>
        </w:rPr>
        <w:t xml:space="preserve">44. Sutartis keičiama arba papildoma priedais pagal poreikį rašytiniu visų Šalių įgaliotų merų pasirašytu susitarimu, prieš tai priėmus atitinkamus savivaldybių tarybų sprendimus. </w:t>
      </w:r>
    </w:p>
    <w:p w14:paraId="7360C187">
      <w:pPr>
        <w:widowControl w:val="0"/>
        <w:autoSpaceDE w:val="0"/>
        <w:autoSpaceDN w:val="0"/>
        <w:adjustRightInd w:val="0"/>
        <w:spacing w:line="240" w:lineRule="auto"/>
        <w:ind w:right="34" w:firstLine="850"/>
        <w:jc w:val="both"/>
        <w:rPr>
          <w:lang w:val="lt-LT"/>
        </w:rPr>
      </w:pPr>
      <w:r>
        <w:rPr>
          <w:lang w:val="lt-LT"/>
        </w:rPr>
        <w:t>45. Kiekvienas Sutarties 44 punkte nurodytas Sutarties pakeitimas nuo jo tinkamo įforminimo dienos tampa neatskiriama Sutarties dalimi.</w:t>
      </w:r>
    </w:p>
    <w:p w14:paraId="61ED4CB4">
      <w:pPr>
        <w:widowControl w:val="0"/>
        <w:autoSpaceDE w:val="0"/>
        <w:autoSpaceDN w:val="0"/>
        <w:adjustRightInd w:val="0"/>
        <w:spacing w:line="240" w:lineRule="auto"/>
        <w:ind w:right="34" w:firstLine="850"/>
        <w:jc w:val="both"/>
        <w:rPr>
          <w:lang w:val="lt-LT"/>
        </w:rPr>
      </w:pPr>
      <w:r>
        <w:rPr>
          <w:lang w:val="lt-LT"/>
        </w:rPr>
        <w:t>46. Atsakomybė ir ginčų sprendimo įsipareigojimai išlieka galioti po Sutarties nutraukimo ar Sutarties termino pasibaigimo.</w:t>
      </w:r>
    </w:p>
    <w:p w14:paraId="4F0C577F">
      <w:pPr>
        <w:spacing w:line="240" w:lineRule="auto"/>
        <w:ind w:firstLine="850"/>
        <w:jc w:val="both"/>
        <w:rPr>
          <w:bCs/>
          <w:lang w:val="lt-LT"/>
        </w:rPr>
      </w:pPr>
    </w:p>
    <w:p w14:paraId="5E598184">
      <w:pPr>
        <w:tabs>
          <w:tab w:val="left" w:pos="851"/>
        </w:tabs>
        <w:ind w:firstLine="850"/>
        <w:jc w:val="center"/>
        <w:rPr>
          <w:b/>
          <w:bCs/>
          <w:lang w:val="lt-LT"/>
        </w:rPr>
      </w:pPr>
      <w:r>
        <w:rPr>
          <w:b/>
          <w:bCs/>
          <w:lang w:val="lt-LT"/>
        </w:rPr>
        <w:t>X. ŠALIŲ PARAŠAI</w:t>
      </w:r>
    </w:p>
    <w:p w14:paraId="2ACA9592">
      <w:pPr>
        <w:tabs>
          <w:tab w:val="left" w:pos="851"/>
        </w:tabs>
        <w:ind w:firstLine="850"/>
        <w:jc w:val="center"/>
        <w:rPr>
          <w:rFonts w:eastAsia="Calibri"/>
          <w:i/>
          <w:iCs/>
        </w:rPr>
      </w:pPr>
    </w:p>
    <w:tbl>
      <w:tblPr>
        <w:tblStyle w:val="3"/>
        <w:tblW w:w="9488" w:type="dxa"/>
        <w:tblInd w:w="0" w:type="dxa"/>
        <w:tblLayout w:type="autofit"/>
        <w:tblCellMar>
          <w:top w:w="0" w:type="dxa"/>
          <w:left w:w="108" w:type="dxa"/>
          <w:bottom w:w="0" w:type="dxa"/>
          <w:right w:w="108" w:type="dxa"/>
        </w:tblCellMar>
      </w:tblPr>
      <w:tblGrid>
        <w:gridCol w:w="2835"/>
        <w:gridCol w:w="2401"/>
        <w:gridCol w:w="2693"/>
        <w:gridCol w:w="1559"/>
      </w:tblGrid>
      <w:tr w14:paraId="64CA91AE">
        <w:tblPrEx>
          <w:tblCellMar>
            <w:top w:w="0" w:type="dxa"/>
            <w:left w:w="108" w:type="dxa"/>
            <w:bottom w:w="0" w:type="dxa"/>
            <w:right w:w="108" w:type="dxa"/>
          </w:tblCellMar>
        </w:tblPrEx>
        <w:tc>
          <w:tcPr>
            <w:tcW w:w="2835" w:type="dxa"/>
            <w:vAlign w:val="center"/>
          </w:tcPr>
          <w:p w14:paraId="7280B805">
            <w:pPr>
              <w:tabs>
                <w:tab w:val="left" w:pos="851"/>
              </w:tabs>
              <w:ind w:firstLine="0"/>
              <w:rPr>
                <w:b/>
                <w:bCs/>
                <w:lang w:val="lt-LT"/>
              </w:rPr>
            </w:pPr>
            <w:r>
              <w:rPr>
                <w:b/>
                <w:bCs/>
                <w:lang w:val="lt-LT"/>
              </w:rPr>
              <w:t>Birštono savivaldybės merė</w:t>
            </w:r>
          </w:p>
          <w:p w14:paraId="4F208B35">
            <w:pPr>
              <w:tabs>
                <w:tab w:val="left" w:pos="851"/>
              </w:tabs>
              <w:ind w:firstLine="0"/>
              <w:rPr>
                <w:lang w:val="lt-LT"/>
              </w:rPr>
            </w:pPr>
          </w:p>
        </w:tc>
        <w:tc>
          <w:tcPr>
            <w:tcW w:w="2401" w:type="dxa"/>
            <w:vAlign w:val="center"/>
          </w:tcPr>
          <w:p w14:paraId="2E893F9B">
            <w:pPr>
              <w:tabs>
                <w:tab w:val="left" w:pos="851"/>
              </w:tabs>
              <w:ind w:firstLine="0"/>
              <w:jc w:val="center"/>
              <w:rPr>
                <w:shd w:val="clear" w:color="auto" w:fill="FFFFFF"/>
              </w:rPr>
            </w:pPr>
            <w:r>
              <w:rPr>
                <w:rFonts w:eastAsia="Calibri"/>
                <w:i/>
                <w:spacing w:val="2"/>
              </w:rPr>
              <w:t>(parašas)</w:t>
            </w:r>
          </w:p>
        </w:tc>
        <w:tc>
          <w:tcPr>
            <w:tcW w:w="2693" w:type="dxa"/>
            <w:vAlign w:val="center"/>
          </w:tcPr>
          <w:p w14:paraId="6259DE7F">
            <w:pPr>
              <w:tabs>
                <w:tab w:val="left" w:pos="851"/>
              </w:tabs>
              <w:ind w:firstLine="0"/>
              <w:jc w:val="center"/>
              <w:rPr>
                <w:rStyle w:val="10"/>
                <w:b w:val="0"/>
                <w:bCs w:val="0"/>
                <w:shd w:val="clear" w:color="auto" w:fill="FFFFFF"/>
              </w:rPr>
            </w:pPr>
            <w:bookmarkStart w:id="1" w:name="_GoBack"/>
            <w:bookmarkEnd w:id="1"/>
            <w:r>
              <w:rPr>
                <w:b/>
                <w:bCs/>
                <w:lang w:val="lt-LT"/>
              </w:rPr>
              <w:t>Nijolė Dirginčienė</w:t>
            </w:r>
          </w:p>
        </w:tc>
        <w:tc>
          <w:tcPr>
            <w:tcW w:w="1559" w:type="dxa"/>
            <w:vAlign w:val="center"/>
          </w:tcPr>
          <w:p w14:paraId="2CB98907">
            <w:pPr>
              <w:tabs>
                <w:tab w:val="left" w:pos="851"/>
              </w:tabs>
              <w:ind w:firstLine="0"/>
              <w:jc w:val="center"/>
              <w:rPr>
                <w:shd w:val="clear" w:color="auto" w:fill="FFFFFF"/>
              </w:rPr>
            </w:pPr>
            <w:r>
              <w:rPr>
                <w:rFonts w:eastAsia="Calibri"/>
                <w:i/>
                <w:spacing w:val="2"/>
              </w:rPr>
              <w:t>(data)</w:t>
            </w:r>
          </w:p>
        </w:tc>
      </w:tr>
      <w:tr w14:paraId="6070F1D2">
        <w:tblPrEx>
          <w:tblCellMar>
            <w:top w:w="0" w:type="dxa"/>
            <w:left w:w="108" w:type="dxa"/>
            <w:bottom w:w="0" w:type="dxa"/>
            <w:right w:w="108" w:type="dxa"/>
          </w:tblCellMar>
        </w:tblPrEx>
        <w:tc>
          <w:tcPr>
            <w:tcW w:w="2835" w:type="dxa"/>
            <w:vAlign w:val="center"/>
          </w:tcPr>
          <w:p w14:paraId="4A43ACA2">
            <w:pPr>
              <w:tabs>
                <w:tab w:val="left" w:pos="851"/>
              </w:tabs>
              <w:ind w:firstLine="0"/>
              <w:rPr>
                <w:b/>
                <w:bCs/>
                <w:shd w:val="clear" w:color="auto" w:fill="FFFFFF"/>
              </w:rPr>
            </w:pPr>
            <w:r>
              <w:rPr>
                <w:b/>
                <w:bCs/>
                <w:lang w:val="lt-LT"/>
              </w:rPr>
              <w:t>Jonavos rajono</w:t>
            </w:r>
            <w:r>
              <w:rPr>
                <w:rFonts w:eastAsia="Calibri"/>
                <w:b/>
                <w:bCs/>
                <w:spacing w:val="2"/>
              </w:rPr>
              <w:t xml:space="preserve"> savivaldybės meras</w:t>
            </w:r>
          </w:p>
        </w:tc>
        <w:tc>
          <w:tcPr>
            <w:tcW w:w="2401" w:type="dxa"/>
            <w:vAlign w:val="center"/>
          </w:tcPr>
          <w:p w14:paraId="21429653">
            <w:pPr>
              <w:tabs>
                <w:tab w:val="left" w:pos="851"/>
              </w:tabs>
              <w:ind w:firstLine="0"/>
              <w:jc w:val="center"/>
              <w:rPr>
                <w:shd w:val="clear" w:color="auto" w:fill="FFFFFF"/>
              </w:rPr>
            </w:pPr>
          </w:p>
        </w:tc>
        <w:tc>
          <w:tcPr>
            <w:tcW w:w="2693" w:type="dxa"/>
            <w:vAlign w:val="center"/>
          </w:tcPr>
          <w:p w14:paraId="128DAEF8">
            <w:pPr>
              <w:tabs>
                <w:tab w:val="left" w:pos="851"/>
              </w:tabs>
              <w:ind w:firstLine="0"/>
              <w:jc w:val="center"/>
              <w:rPr>
                <w:highlight w:val="yellow"/>
                <w:shd w:val="clear" w:color="auto" w:fill="FFFFFF"/>
              </w:rPr>
            </w:pPr>
            <w:r>
              <w:rPr>
                <w:rStyle w:val="10"/>
                <w:shd w:val="clear" w:color="auto" w:fill="FFFFFF"/>
              </w:rPr>
              <w:t>Mindaugas Sinkevičius</w:t>
            </w:r>
          </w:p>
        </w:tc>
        <w:tc>
          <w:tcPr>
            <w:tcW w:w="1559" w:type="dxa"/>
            <w:vAlign w:val="center"/>
          </w:tcPr>
          <w:p w14:paraId="607E1823">
            <w:pPr>
              <w:tabs>
                <w:tab w:val="left" w:pos="851"/>
              </w:tabs>
              <w:ind w:firstLine="0"/>
              <w:jc w:val="center"/>
              <w:rPr>
                <w:shd w:val="clear" w:color="auto" w:fill="FFFFFF"/>
              </w:rPr>
            </w:pPr>
          </w:p>
        </w:tc>
      </w:tr>
      <w:tr w14:paraId="5ED55AEC">
        <w:tblPrEx>
          <w:tblCellMar>
            <w:top w:w="0" w:type="dxa"/>
            <w:left w:w="108" w:type="dxa"/>
            <w:bottom w:w="0" w:type="dxa"/>
            <w:right w:w="108" w:type="dxa"/>
          </w:tblCellMar>
        </w:tblPrEx>
        <w:tc>
          <w:tcPr>
            <w:tcW w:w="2835" w:type="dxa"/>
            <w:vAlign w:val="center"/>
          </w:tcPr>
          <w:p w14:paraId="67F9EFD6">
            <w:pPr>
              <w:tabs>
                <w:tab w:val="left" w:pos="851"/>
              </w:tabs>
              <w:ind w:firstLine="0"/>
              <w:rPr>
                <w:shd w:val="clear" w:color="auto" w:fill="FFFFFF"/>
              </w:rPr>
            </w:pPr>
          </w:p>
        </w:tc>
        <w:tc>
          <w:tcPr>
            <w:tcW w:w="2401" w:type="dxa"/>
            <w:vAlign w:val="center"/>
          </w:tcPr>
          <w:p w14:paraId="7A72C9D1">
            <w:pPr>
              <w:tabs>
                <w:tab w:val="left" w:pos="851"/>
              </w:tabs>
              <w:ind w:firstLine="0"/>
              <w:jc w:val="center"/>
              <w:rPr>
                <w:shd w:val="clear" w:color="auto" w:fill="FFFFFF"/>
              </w:rPr>
            </w:pPr>
            <w:r>
              <w:rPr>
                <w:rFonts w:eastAsia="Calibri"/>
                <w:i/>
                <w:spacing w:val="2"/>
              </w:rPr>
              <w:t>(parašas)</w:t>
            </w:r>
          </w:p>
        </w:tc>
        <w:tc>
          <w:tcPr>
            <w:tcW w:w="2693" w:type="dxa"/>
            <w:vAlign w:val="center"/>
          </w:tcPr>
          <w:p w14:paraId="20B55867">
            <w:pPr>
              <w:tabs>
                <w:tab w:val="left" w:pos="851"/>
              </w:tabs>
              <w:ind w:firstLine="0"/>
              <w:rPr>
                <w:shd w:val="clear" w:color="auto" w:fill="FFFFFF"/>
              </w:rPr>
            </w:pPr>
          </w:p>
        </w:tc>
        <w:tc>
          <w:tcPr>
            <w:tcW w:w="1559" w:type="dxa"/>
            <w:vAlign w:val="center"/>
          </w:tcPr>
          <w:p w14:paraId="680D3C76">
            <w:pPr>
              <w:tabs>
                <w:tab w:val="left" w:pos="851"/>
              </w:tabs>
              <w:ind w:firstLine="0"/>
              <w:jc w:val="center"/>
              <w:rPr>
                <w:rFonts w:eastAsia="Calibri"/>
                <w:i/>
                <w:spacing w:val="2"/>
              </w:rPr>
            </w:pPr>
            <w:r>
              <w:rPr>
                <w:rFonts w:eastAsia="Calibri"/>
                <w:i/>
                <w:spacing w:val="2"/>
              </w:rPr>
              <w:t>(data)</w:t>
            </w:r>
          </w:p>
        </w:tc>
      </w:tr>
      <w:tr w14:paraId="543DFDCE">
        <w:tblPrEx>
          <w:tblCellMar>
            <w:top w:w="0" w:type="dxa"/>
            <w:left w:w="108" w:type="dxa"/>
            <w:bottom w:w="0" w:type="dxa"/>
            <w:right w:w="108" w:type="dxa"/>
          </w:tblCellMar>
        </w:tblPrEx>
        <w:tc>
          <w:tcPr>
            <w:tcW w:w="2835" w:type="dxa"/>
            <w:vAlign w:val="center"/>
          </w:tcPr>
          <w:p w14:paraId="3A0E0AB1">
            <w:pPr>
              <w:tabs>
                <w:tab w:val="left" w:pos="851"/>
              </w:tabs>
              <w:ind w:firstLine="0"/>
              <w:rPr>
                <w:shd w:val="clear" w:color="auto" w:fill="FFFFFF"/>
              </w:rPr>
            </w:pPr>
          </w:p>
        </w:tc>
        <w:tc>
          <w:tcPr>
            <w:tcW w:w="2401" w:type="dxa"/>
            <w:vAlign w:val="center"/>
          </w:tcPr>
          <w:p w14:paraId="47BD04E9">
            <w:pPr>
              <w:tabs>
                <w:tab w:val="left" w:pos="851"/>
              </w:tabs>
              <w:ind w:firstLine="0"/>
              <w:jc w:val="center"/>
              <w:rPr>
                <w:shd w:val="clear" w:color="auto" w:fill="FFFFFF"/>
              </w:rPr>
            </w:pPr>
          </w:p>
        </w:tc>
        <w:tc>
          <w:tcPr>
            <w:tcW w:w="2693" w:type="dxa"/>
            <w:vAlign w:val="center"/>
          </w:tcPr>
          <w:p w14:paraId="39724BF7">
            <w:pPr>
              <w:tabs>
                <w:tab w:val="left" w:pos="851"/>
              </w:tabs>
              <w:ind w:firstLine="0"/>
              <w:jc w:val="center"/>
              <w:rPr>
                <w:shd w:val="clear" w:color="auto" w:fill="FFFFFF"/>
              </w:rPr>
            </w:pPr>
          </w:p>
        </w:tc>
        <w:tc>
          <w:tcPr>
            <w:tcW w:w="1559" w:type="dxa"/>
            <w:vAlign w:val="center"/>
          </w:tcPr>
          <w:p w14:paraId="70D91D17">
            <w:pPr>
              <w:tabs>
                <w:tab w:val="left" w:pos="851"/>
              </w:tabs>
              <w:ind w:firstLine="0"/>
              <w:jc w:val="center"/>
              <w:rPr>
                <w:shd w:val="clear" w:color="auto" w:fill="FFFFFF"/>
              </w:rPr>
            </w:pPr>
          </w:p>
        </w:tc>
      </w:tr>
      <w:tr w14:paraId="2C498AF5">
        <w:tblPrEx>
          <w:tblCellMar>
            <w:top w:w="0" w:type="dxa"/>
            <w:left w:w="108" w:type="dxa"/>
            <w:bottom w:w="0" w:type="dxa"/>
            <w:right w:w="108" w:type="dxa"/>
          </w:tblCellMar>
        </w:tblPrEx>
        <w:tc>
          <w:tcPr>
            <w:tcW w:w="2835" w:type="dxa"/>
            <w:vAlign w:val="center"/>
          </w:tcPr>
          <w:p w14:paraId="693EAAD0">
            <w:pPr>
              <w:tabs>
                <w:tab w:val="left" w:pos="851"/>
              </w:tabs>
              <w:ind w:firstLine="0"/>
              <w:rPr>
                <w:b/>
                <w:bCs/>
                <w:shd w:val="clear" w:color="auto" w:fill="FFFFFF"/>
              </w:rPr>
            </w:pPr>
            <w:r>
              <w:rPr>
                <w:b/>
                <w:bCs/>
                <w:lang w:val="lt-LT"/>
              </w:rPr>
              <w:t xml:space="preserve">Kaišiadorių rajono </w:t>
            </w:r>
            <w:r>
              <w:rPr>
                <w:rFonts w:eastAsia="Calibri"/>
                <w:b/>
                <w:bCs/>
              </w:rPr>
              <w:t>savivaldybės meras</w:t>
            </w:r>
          </w:p>
        </w:tc>
        <w:tc>
          <w:tcPr>
            <w:tcW w:w="2401" w:type="dxa"/>
            <w:vAlign w:val="center"/>
          </w:tcPr>
          <w:p w14:paraId="242BEBBE">
            <w:pPr>
              <w:tabs>
                <w:tab w:val="left" w:pos="851"/>
              </w:tabs>
              <w:ind w:firstLine="0"/>
              <w:jc w:val="center"/>
              <w:rPr>
                <w:shd w:val="clear" w:color="auto" w:fill="FFFFFF"/>
              </w:rPr>
            </w:pPr>
          </w:p>
        </w:tc>
        <w:tc>
          <w:tcPr>
            <w:tcW w:w="2693" w:type="dxa"/>
            <w:vAlign w:val="center"/>
          </w:tcPr>
          <w:p w14:paraId="43FFAD5E">
            <w:pPr>
              <w:tabs>
                <w:tab w:val="left" w:pos="851"/>
              </w:tabs>
              <w:ind w:firstLine="0"/>
              <w:jc w:val="center"/>
              <w:rPr>
                <w:shd w:val="clear" w:color="auto" w:fill="FFFFFF"/>
              </w:rPr>
            </w:pPr>
            <w:r>
              <w:rPr>
                <w:rStyle w:val="10"/>
                <w:shd w:val="clear" w:color="auto" w:fill="FFFFFF"/>
              </w:rPr>
              <w:t>Šarūnas Čėsna</w:t>
            </w:r>
          </w:p>
        </w:tc>
        <w:tc>
          <w:tcPr>
            <w:tcW w:w="1559" w:type="dxa"/>
            <w:vAlign w:val="center"/>
          </w:tcPr>
          <w:p w14:paraId="42AAC4B7">
            <w:pPr>
              <w:tabs>
                <w:tab w:val="left" w:pos="851"/>
              </w:tabs>
              <w:ind w:firstLine="0"/>
              <w:jc w:val="center"/>
              <w:rPr>
                <w:shd w:val="clear" w:color="auto" w:fill="FFFFFF"/>
              </w:rPr>
            </w:pPr>
          </w:p>
        </w:tc>
      </w:tr>
      <w:tr w14:paraId="11A07027">
        <w:tblPrEx>
          <w:tblCellMar>
            <w:top w:w="0" w:type="dxa"/>
            <w:left w:w="108" w:type="dxa"/>
            <w:bottom w:w="0" w:type="dxa"/>
            <w:right w:w="108" w:type="dxa"/>
          </w:tblCellMar>
        </w:tblPrEx>
        <w:tc>
          <w:tcPr>
            <w:tcW w:w="2835" w:type="dxa"/>
            <w:vAlign w:val="center"/>
          </w:tcPr>
          <w:p w14:paraId="1C6490C1">
            <w:pPr>
              <w:tabs>
                <w:tab w:val="left" w:pos="851"/>
              </w:tabs>
              <w:ind w:firstLine="0"/>
              <w:rPr>
                <w:shd w:val="clear" w:color="auto" w:fill="FFFFFF"/>
              </w:rPr>
            </w:pPr>
          </w:p>
        </w:tc>
        <w:tc>
          <w:tcPr>
            <w:tcW w:w="2401" w:type="dxa"/>
            <w:vAlign w:val="center"/>
          </w:tcPr>
          <w:p w14:paraId="5911F4FC">
            <w:pPr>
              <w:tabs>
                <w:tab w:val="left" w:pos="851"/>
              </w:tabs>
              <w:ind w:firstLine="0"/>
              <w:jc w:val="center"/>
              <w:rPr>
                <w:shd w:val="clear" w:color="auto" w:fill="FFFFFF"/>
              </w:rPr>
            </w:pPr>
            <w:r>
              <w:rPr>
                <w:rFonts w:eastAsia="Calibri"/>
                <w:i/>
                <w:spacing w:val="2"/>
              </w:rPr>
              <w:t>(parašas)</w:t>
            </w:r>
          </w:p>
        </w:tc>
        <w:tc>
          <w:tcPr>
            <w:tcW w:w="2693" w:type="dxa"/>
            <w:vAlign w:val="center"/>
          </w:tcPr>
          <w:p w14:paraId="20F03C38">
            <w:pPr>
              <w:tabs>
                <w:tab w:val="left" w:pos="851"/>
              </w:tabs>
              <w:ind w:firstLine="0"/>
              <w:jc w:val="center"/>
              <w:rPr>
                <w:shd w:val="clear" w:color="auto" w:fill="FFFFFF"/>
              </w:rPr>
            </w:pPr>
          </w:p>
        </w:tc>
        <w:tc>
          <w:tcPr>
            <w:tcW w:w="1559" w:type="dxa"/>
            <w:vAlign w:val="center"/>
          </w:tcPr>
          <w:p w14:paraId="3B42ED90">
            <w:pPr>
              <w:tabs>
                <w:tab w:val="left" w:pos="851"/>
              </w:tabs>
              <w:ind w:firstLine="0"/>
              <w:jc w:val="center"/>
              <w:rPr>
                <w:shd w:val="clear" w:color="auto" w:fill="FFFFFF"/>
              </w:rPr>
            </w:pPr>
            <w:r>
              <w:rPr>
                <w:rFonts w:eastAsia="Calibri"/>
                <w:i/>
                <w:spacing w:val="2"/>
              </w:rPr>
              <w:t>(data)</w:t>
            </w:r>
          </w:p>
        </w:tc>
      </w:tr>
      <w:tr w14:paraId="37FE4304">
        <w:tblPrEx>
          <w:tblCellMar>
            <w:top w:w="0" w:type="dxa"/>
            <w:left w:w="108" w:type="dxa"/>
            <w:bottom w:w="0" w:type="dxa"/>
            <w:right w:w="108" w:type="dxa"/>
          </w:tblCellMar>
        </w:tblPrEx>
        <w:tc>
          <w:tcPr>
            <w:tcW w:w="2835" w:type="dxa"/>
            <w:vAlign w:val="center"/>
          </w:tcPr>
          <w:p w14:paraId="01645723">
            <w:pPr>
              <w:tabs>
                <w:tab w:val="left" w:pos="851"/>
              </w:tabs>
              <w:ind w:firstLine="0"/>
              <w:rPr>
                <w:b/>
                <w:bCs/>
                <w:shd w:val="clear" w:color="auto" w:fill="FFFFFF"/>
              </w:rPr>
            </w:pPr>
            <w:r>
              <w:rPr>
                <w:b/>
                <w:bCs/>
                <w:shd w:val="clear" w:color="auto" w:fill="FFFFFF"/>
              </w:rPr>
              <w:t>Kauno miesto</w:t>
            </w:r>
          </w:p>
        </w:tc>
        <w:tc>
          <w:tcPr>
            <w:tcW w:w="2401" w:type="dxa"/>
            <w:vAlign w:val="center"/>
          </w:tcPr>
          <w:p w14:paraId="016F9044">
            <w:pPr>
              <w:tabs>
                <w:tab w:val="left" w:pos="851"/>
              </w:tabs>
              <w:ind w:firstLine="0"/>
              <w:jc w:val="center"/>
              <w:rPr>
                <w:rFonts w:eastAsia="Calibri"/>
                <w:i/>
                <w:spacing w:val="2"/>
              </w:rPr>
            </w:pPr>
          </w:p>
        </w:tc>
        <w:tc>
          <w:tcPr>
            <w:tcW w:w="2693" w:type="dxa"/>
            <w:vAlign w:val="center"/>
          </w:tcPr>
          <w:p w14:paraId="2FFE3D2C">
            <w:pPr>
              <w:tabs>
                <w:tab w:val="left" w:pos="851"/>
              </w:tabs>
              <w:ind w:firstLine="0"/>
              <w:jc w:val="center"/>
              <w:rPr>
                <w:b/>
                <w:bCs/>
                <w:shd w:val="clear" w:color="auto" w:fill="FFFFFF"/>
              </w:rPr>
            </w:pPr>
            <w:r>
              <w:rPr>
                <w:b/>
                <w:bCs/>
                <w:shd w:val="clear" w:color="auto" w:fill="FFFFFF"/>
              </w:rPr>
              <w:t>Visvaldas Matijošaitis</w:t>
            </w:r>
          </w:p>
        </w:tc>
        <w:tc>
          <w:tcPr>
            <w:tcW w:w="1559" w:type="dxa"/>
            <w:vAlign w:val="center"/>
          </w:tcPr>
          <w:p w14:paraId="477D965D">
            <w:pPr>
              <w:tabs>
                <w:tab w:val="left" w:pos="851"/>
              </w:tabs>
              <w:ind w:firstLine="0"/>
              <w:jc w:val="center"/>
              <w:rPr>
                <w:rFonts w:eastAsia="Calibri"/>
                <w:i/>
                <w:spacing w:val="2"/>
              </w:rPr>
            </w:pPr>
          </w:p>
        </w:tc>
      </w:tr>
      <w:tr w14:paraId="0627BBE4">
        <w:tblPrEx>
          <w:tblCellMar>
            <w:top w:w="0" w:type="dxa"/>
            <w:left w:w="108" w:type="dxa"/>
            <w:bottom w:w="0" w:type="dxa"/>
            <w:right w:w="108" w:type="dxa"/>
          </w:tblCellMar>
        </w:tblPrEx>
        <w:tc>
          <w:tcPr>
            <w:tcW w:w="2835" w:type="dxa"/>
            <w:vAlign w:val="center"/>
          </w:tcPr>
          <w:p w14:paraId="2522C64A">
            <w:pPr>
              <w:tabs>
                <w:tab w:val="left" w:pos="851"/>
              </w:tabs>
              <w:ind w:firstLine="0"/>
              <w:rPr>
                <w:b/>
                <w:bCs/>
                <w:shd w:val="clear" w:color="auto" w:fill="FFFFFF"/>
              </w:rPr>
            </w:pPr>
            <w:r>
              <w:rPr>
                <w:b/>
                <w:bCs/>
                <w:shd w:val="clear" w:color="auto" w:fill="FFFFFF"/>
              </w:rPr>
              <w:t>savivaldybės meras</w:t>
            </w:r>
          </w:p>
        </w:tc>
        <w:tc>
          <w:tcPr>
            <w:tcW w:w="2401" w:type="dxa"/>
            <w:vAlign w:val="center"/>
          </w:tcPr>
          <w:p w14:paraId="421DBAC2">
            <w:pPr>
              <w:tabs>
                <w:tab w:val="left" w:pos="851"/>
              </w:tabs>
              <w:ind w:firstLine="0"/>
              <w:jc w:val="center"/>
              <w:rPr>
                <w:rFonts w:eastAsia="Calibri"/>
                <w:i/>
                <w:spacing w:val="2"/>
              </w:rPr>
            </w:pPr>
          </w:p>
        </w:tc>
        <w:tc>
          <w:tcPr>
            <w:tcW w:w="2693" w:type="dxa"/>
            <w:vAlign w:val="center"/>
          </w:tcPr>
          <w:p w14:paraId="09926EF5">
            <w:pPr>
              <w:tabs>
                <w:tab w:val="left" w:pos="851"/>
              </w:tabs>
              <w:ind w:firstLine="0"/>
              <w:jc w:val="center"/>
              <w:rPr>
                <w:shd w:val="clear" w:color="auto" w:fill="FFFFFF"/>
              </w:rPr>
            </w:pPr>
          </w:p>
        </w:tc>
        <w:tc>
          <w:tcPr>
            <w:tcW w:w="1559" w:type="dxa"/>
            <w:vAlign w:val="center"/>
          </w:tcPr>
          <w:p w14:paraId="51B7759C">
            <w:pPr>
              <w:tabs>
                <w:tab w:val="left" w:pos="851"/>
              </w:tabs>
              <w:ind w:firstLine="0"/>
              <w:jc w:val="center"/>
              <w:rPr>
                <w:rFonts w:eastAsia="Calibri"/>
                <w:i/>
                <w:spacing w:val="2"/>
              </w:rPr>
            </w:pPr>
          </w:p>
        </w:tc>
      </w:tr>
      <w:tr w14:paraId="1B28F6B4">
        <w:tc>
          <w:tcPr>
            <w:tcW w:w="2835" w:type="dxa"/>
            <w:vAlign w:val="center"/>
          </w:tcPr>
          <w:p w14:paraId="6C77BDE9">
            <w:pPr>
              <w:tabs>
                <w:tab w:val="left" w:pos="851"/>
              </w:tabs>
              <w:ind w:firstLine="0"/>
              <w:rPr>
                <w:shd w:val="clear" w:color="auto" w:fill="FFFFFF"/>
              </w:rPr>
            </w:pPr>
          </w:p>
        </w:tc>
        <w:tc>
          <w:tcPr>
            <w:tcW w:w="2401" w:type="dxa"/>
            <w:vAlign w:val="center"/>
          </w:tcPr>
          <w:p w14:paraId="48BD7294">
            <w:pPr>
              <w:tabs>
                <w:tab w:val="left" w:pos="851"/>
              </w:tabs>
              <w:ind w:firstLine="0"/>
              <w:jc w:val="center"/>
              <w:rPr>
                <w:rFonts w:eastAsia="Calibri"/>
                <w:i/>
                <w:spacing w:val="2"/>
              </w:rPr>
            </w:pPr>
            <w:r>
              <w:rPr>
                <w:rFonts w:eastAsia="Calibri"/>
                <w:i/>
                <w:spacing w:val="2"/>
              </w:rPr>
              <w:t>(parašas)</w:t>
            </w:r>
          </w:p>
        </w:tc>
        <w:tc>
          <w:tcPr>
            <w:tcW w:w="2693" w:type="dxa"/>
            <w:vAlign w:val="center"/>
          </w:tcPr>
          <w:p w14:paraId="26E17700">
            <w:pPr>
              <w:tabs>
                <w:tab w:val="left" w:pos="851"/>
              </w:tabs>
              <w:ind w:firstLine="0"/>
              <w:jc w:val="center"/>
              <w:rPr>
                <w:shd w:val="clear" w:color="auto" w:fill="FFFFFF"/>
              </w:rPr>
            </w:pPr>
          </w:p>
        </w:tc>
        <w:tc>
          <w:tcPr>
            <w:tcW w:w="1559" w:type="dxa"/>
            <w:vAlign w:val="center"/>
          </w:tcPr>
          <w:p w14:paraId="329F0FAC">
            <w:pPr>
              <w:tabs>
                <w:tab w:val="left" w:pos="851"/>
              </w:tabs>
              <w:ind w:firstLine="0"/>
              <w:jc w:val="center"/>
              <w:rPr>
                <w:rFonts w:eastAsia="Calibri"/>
                <w:i/>
                <w:spacing w:val="2"/>
              </w:rPr>
            </w:pPr>
            <w:r>
              <w:rPr>
                <w:rFonts w:eastAsia="Calibri"/>
                <w:i/>
                <w:spacing w:val="2"/>
              </w:rPr>
              <w:t>(data)</w:t>
            </w:r>
          </w:p>
        </w:tc>
      </w:tr>
      <w:tr w14:paraId="03197BD6">
        <w:tblPrEx>
          <w:tblCellMar>
            <w:top w:w="0" w:type="dxa"/>
            <w:left w:w="108" w:type="dxa"/>
            <w:bottom w:w="0" w:type="dxa"/>
            <w:right w:w="108" w:type="dxa"/>
          </w:tblCellMar>
        </w:tblPrEx>
        <w:tc>
          <w:tcPr>
            <w:tcW w:w="2835" w:type="dxa"/>
            <w:vAlign w:val="center"/>
          </w:tcPr>
          <w:p w14:paraId="52FB3C8B">
            <w:pPr>
              <w:tabs>
                <w:tab w:val="left" w:pos="851"/>
              </w:tabs>
              <w:ind w:firstLine="0"/>
              <w:rPr>
                <w:shd w:val="clear" w:color="auto" w:fill="FFFFFF"/>
              </w:rPr>
            </w:pPr>
          </w:p>
        </w:tc>
        <w:tc>
          <w:tcPr>
            <w:tcW w:w="2401" w:type="dxa"/>
            <w:vAlign w:val="center"/>
          </w:tcPr>
          <w:p w14:paraId="0B4E7911">
            <w:pPr>
              <w:tabs>
                <w:tab w:val="left" w:pos="851"/>
              </w:tabs>
              <w:ind w:firstLine="0"/>
              <w:jc w:val="center"/>
              <w:rPr>
                <w:shd w:val="clear" w:color="auto" w:fill="FFFFFF"/>
              </w:rPr>
            </w:pPr>
          </w:p>
        </w:tc>
        <w:tc>
          <w:tcPr>
            <w:tcW w:w="2693" w:type="dxa"/>
            <w:vAlign w:val="center"/>
          </w:tcPr>
          <w:p w14:paraId="5C87291C">
            <w:pPr>
              <w:tabs>
                <w:tab w:val="left" w:pos="851"/>
              </w:tabs>
              <w:ind w:firstLine="0"/>
              <w:jc w:val="center"/>
              <w:rPr>
                <w:shd w:val="clear" w:color="auto" w:fill="FFFFFF"/>
              </w:rPr>
            </w:pPr>
          </w:p>
        </w:tc>
        <w:tc>
          <w:tcPr>
            <w:tcW w:w="1559" w:type="dxa"/>
            <w:vAlign w:val="center"/>
          </w:tcPr>
          <w:p w14:paraId="48411041">
            <w:pPr>
              <w:tabs>
                <w:tab w:val="left" w:pos="851"/>
              </w:tabs>
              <w:ind w:firstLine="0"/>
              <w:jc w:val="center"/>
              <w:rPr>
                <w:shd w:val="clear" w:color="auto" w:fill="FFFFFF"/>
              </w:rPr>
            </w:pPr>
          </w:p>
        </w:tc>
      </w:tr>
      <w:tr w14:paraId="46018D3E">
        <w:tblPrEx>
          <w:tblCellMar>
            <w:top w:w="0" w:type="dxa"/>
            <w:left w:w="108" w:type="dxa"/>
            <w:bottom w:w="0" w:type="dxa"/>
            <w:right w:w="108" w:type="dxa"/>
          </w:tblCellMar>
        </w:tblPrEx>
        <w:tc>
          <w:tcPr>
            <w:tcW w:w="2835" w:type="dxa"/>
            <w:vAlign w:val="center"/>
          </w:tcPr>
          <w:p w14:paraId="03B07BA4">
            <w:pPr>
              <w:tabs>
                <w:tab w:val="left" w:pos="851"/>
              </w:tabs>
              <w:ind w:firstLine="0"/>
              <w:rPr>
                <w:b/>
                <w:bCs/>
                <w:shd w:val="clear" w:color="auto" w:fill="FFFFFF"/>
              </w:rPr>
            </w:pPr>
            <w:r>
              <w:rPr>
                <w:b/>
                <w:bCs/>
                <w:lang w:val="lt-LT"/>
              </w:rPr>
              <w:t>Kauno rajono</w:t>
            </w:r>
            <w:r>
              <w:rPr>
                <w:rFonts w:eastAsia="Calibri"/>
                <w:b/>
                <w:bCs/>
                <w:spacing w:val="2"/>
              </w:rPr>
              <w:t xml:space="preserve"> savivaldybės meras</w:t>
            </w:r>
          </w:p>
        </w:tc>
        <w:tc>
          <w:tcPr>
            <w:tcW w:w="2401" w:type="dxa"/>
            <w:vAlign w:val="center"/>
          </w:tcPr>
          <w:p w14:paraId="2483ED37">
            <w:pPr>
              <w:tabs>
                <w:tab w:val="left" w:pos="851"/>
              </w:tabs>
              <w:ind w:firstLine="0"/>
              <w:jc w:val="center"/>
              <w:rPr>
                <w:shd w:val="clear" w:color="auto" w:fill="FFFFFF"/>
              </w:rPr>
            </w:pPr>
          </w:p>
        </w:tc>
        <w:tc>
          <w:tcPr>
            <w:tcW w:w="2693" w:type="dxa"/>
            <w:vAlign w:val="center"/>
          </w:tcPr>
          <w:p w14:paraId="74302F02">
            <w:pPr>
              <w:tabs>
                <w:tab w:val="left" w:pos="851"/>
              </w:tabs>
              <w:ind w:firstLine="0"/>
              <w:jc w:val="center"/>
              <w:rPr>
                <w:shd w:val="clear" w:color="auto" w:fill="FFFFFF"/>
              </w:rPr>
            </w:pPr>
            <w:r>
              <w:rPr>
                <w:rStyle w:val="10"/>
                <w:shd w:val="clear" w:color="auto" w:fill="FFFFFF"/>
              </w:rPr>
              <w:t>Valerijus Makūnas</w:t>
            </w:r>
          </w:p>
        </w:tc>
        <w:tc>
          <w:tcPr>
            <w:tcW w:w="1559" w:type="dxa"/>
            <w:vAlign w:val="center"/>
          </w:tcPr>
          <w:p w14:paraId="77886116">
            <w:pPr>
              <w:tabs>
                <w:tab w:val="left" w:pos="851"/>
              </w:tabs>
              <w:ind w:firstLine="0"/>
              <w:jc w:val="center"/>
              <w:rPr>
                <w:shd w:val="clear" w:color="auto" w:fill="FFFFFF"/>
              </w:rPr>
            </w:pPr>
          </w:p>
        </w:tc>
      </w:tr>
      <w:tr w14:paraId="0BB7A4C4">
        <w:tblPrEx>
          <w:tblCellMar>
            <w:top w:w="0" w:type="dxa"/>
            <w:left w:w="108" w:type="dxa"/>
            <w:bottom w:w="0" w:type="dxa"/>
            <w:right w:w="108" w:type="dxa"/>
          </w:tblCellMar>
        </w:tblPrEx>
        <w:tc>
          <w:tcPr>
            <w:tcW w:w="2835" w:type="dxa"/>
            <w:vAlign w:val="center"/>
          </w:tcPr>
          <w:p w14:paraId="44944DED">
            <w:pPr>
              <w:tabs>
                <w:tab w:val="left" w:pos="851"/>
              </w:tabs>
              <w:ind w:firstLine="0"/>
              <w:rPr>
                <w:rFonts w:eastAsia="Calibri"/>
                <w:spacing w:val="2"/>
              </w:rPr>
            </w:pPr>
          </w:p>
        </w:tc>
        <w:tc>
          <w:tcPr>
            <w:tcW w:w="2401" w:type="dxa"/>
            <w:vAlign w:val="center"/>
          </w:tcPr>
          <w:p w14:paraId="087E651A">
            <w:pPr>
              <w:tabs>
                <w:tab w:val="left" w:pos="851"/>
              </w:tabs>
              <w:ind w:firstLine="0"/>
              <w:jc w:val="center"/>
              <w:rPr>
                <w:shd w:val="clear" w:color="auto" w:fill="FFFFFF"/>
              </w:rPr>
            </w:pPr>
            <w:r>
              <w:rPr>
                <w:rFonts w:eastAsia="Calibri"/>
                <w:i/>
                <w:spacing w:val="2"/>
              </w:rPr>
              <w:t>(parašas)</w:t>
            </w:r>
          </w:p>
        </w:tc>
        <w:tc>
          <w:tcPr>
            <w:tcW w:w="2693" w:type="dxa"/>
            <w:vAlign w:val="center"/>
          </w:tcPr>
          <w:p w14:paraId="73F94E6A">
            <w:pPr>
              <w:tabs>
                <w:tab w:val="left" w:pos="851"/>
              </w:tabs>
              <w:ind w:firstLine="0"/>
              <w:jc w:val="center"/>
              <w:rPr>
                <w:shd w:val="clear" w:color="auto" w:fill="FFFFFF"/>
              </w:rPr>
            </w:pPr>
          </w:p>
        </w:tc>
        <w:tc>
          <w:tcPr>
            <w:tcW w:w="1559" w:type="dxa"/>
            <w:vAlign w:val="center"/>
          </w:tcPr>
          <w:p w14:paraId="3E422CA6">
            <w:pPr>
              <w:tabs>
                <w:tab w:val="left" w:pos="851"/>
              </w:tabs>
              <w:ind w:firstLine="0"/>
              <w:jc w:val="center"/>
              <w:rPr>
                <w:shd w:val="clear" w:color="auto" w:fill="FFFFFF"/>
              </w:rPr>
            </w:pPr>
            <w:r>
              <w:rPr>
                <w:rFonts w:eastAsia="Calibri"/>
                <w:i/>
                <w:spacing w:val="2"/>
              </w:rPr>
              <w:t>(data)</w:t>
            </w:r>
          </w:p>
        </w:tc>
      </w:tr>
      <w:tr w14:paraId="35AC1F0A">
        <w:tblPrEx>
          <w:tblCellMar>
            <w:top w:w="0" w:type="dxa"/>
            <w:left w:w="108" w:type="dxa"/>
            <w:bottom w:w="0" w:type="dxa"/>
            <w:right w:w="108" w:type="dxa"/>
          </w:tblCellMar>
        </w:tblPrEx>
        <w:tc>
          <w:tcPr>
            <w:tcW w:w="2835" w:type="dxa"/>
            <w:vAlign w:val="center"/>
          </w:tcPr>
          <w:p w14:paraId="1F38991F">
            <w:pPr>
              <w:tabs>
                <w:tab w:val="left" w:pos="851"/>
              </w:tabs>
              <w:ind w:firstLine="0"/>
              <w:rPr>
                <w:rFonts w:eastAsia="Calibri"/>
                <w:spacing w:val="2"/>
              </w:rPr>
            </w:pPr>
          </w:p>
        </w:tc>
        <w:tc>
          <w:tcPr>
            <w:tcW w:w="2401" w:type="dxa"/>
            <w:vAlign w:val="center"/>
          </w:tcPr>
          <w:p w14:paraId="5956EA4A">
            <w:pPr>
              <w:tabs>
                <w:tab w:val="left" w:pos="851"/>
              </w:tabs>
              <w:ind w:firstLine="0"/>
              <w:jc w:val="center"/>
              <w:rPr>
                <w:shd w:val="clear" w:color="auto" w:fill="FFFFFF"/>
              </w:rPr>
            </w:pPr>
          </w:p>
        </w:tc>
        <w:tc>
          <w:tcPr>
            <w:tcW w:w="2693" w:type="dxa"/>
            <w:vAlign w:val="center"/>
          </w:tcPr>
          <w:p w14:paraId="76670347">
            <w:pPr>
              <w:tabs>
                <w:tab w:val="left" w:pos="851"/>
              </w:tabs>
              <w:ind w:firstLine="0"/>
              <w:jc w:val="center"/>
              <w:rPr>
                <w:shd w:val="clear" w:color="auto" w:fill="FFFFFF"/>
              </w:rPr>
            </w:pPr>
          </w:p>
        </w:tc>
        <w:tc>
          <w:tcPr>
            <w:tcW w:w="1559" w:type="dxa"/>
            <w:vAlign w:val="center"/>
          </w:tcPr>
          <w:p w14:paraId="68F5B84C">
            <w:pPr>
              <w:tabs>
                <w:tab w:val="left" w:pos="851"/>
              </w:tabs>
              <w:ind w:firstLine="0"/>
              <w:jc w:val="center"/>
              <w:rPr>
                <w:shd w:val="clear" w:color="auto" w:fill="FFFFFF"/>
              </w:rPr>
            </w:pPr>
          </w:p>
        </w:tc>
      </w:tr>
      <w:tr w14:paraId="67B7B87E">
        <w:tblPrEx>
          <w:tblCellMar>
            <w:top w:w="0" w:type="dxa"/>
            <w:left w:w="108" w:type="dxa"/>
            <w:bottom w:w="0" w:type="dxa"/>
            <w:right w:w="108" w:type="dxa"/>
          </w:tblCellMar>
        </w:tblPrEx>
        <w:tc>
          <w:tcPr>
            <w:tcW w:w="2835" w:type="dxa"/>
            <w:vAlign w:val="center"/>
          </w:tcPr>
          <w:p w14:paraId="272F9DE6">
            <w:pPr>
              <w:tabs>
                <w:tab w:val="left" w:pos="851"/>
              </w:tabs>
              <w:ind w:firstLine="0"/>
              <w:rPr>
                <w:rFonts w:eastAsia="Calibri"/>
                <w:b/>
                <w:bCs/>
                <w:spacing w:val="2"/>
              </w:rPr>
            </w:pPr>
            <w:r>
              <w:rPr>
                <w:b/>
                <w:bCs/>
                <w:lang w:val="lt-LT"/>
              </w:rPr>
              <w:t xml:space="preserve">Kėdainių rajono </w:t>
            </w:r>
            <w:r>
              <w:rPr>
                <w:rFonts w:eastAsia="Calibri"/>
                <w:b/>
                <w:bCs/>
                <w:spacing w:val="2"/>
              </w:rPr>
              <w:t>savivaldybės meras</w:t>
            </w:r>
          </w:p>
        </w:tc>
        <w:tc>
          <w:tcPr>
            <w:tcW w:w="2401" w:type="dxa"/>
            <w:vAlign w:val="center"/>
          </w:tcPr>
          <w:p w14:paraId="68C93D2B">
            <w:pPr>
              <w:tabs>
                <w:tab w:val="left" w:pos="851"/>
              </w:tabs>
              <w:ind w:firstLine="0"/>
              <w:jc w:val="center"/>
              <w:rPr>
                <w:shd w:val="clear" w:color="auto" w:fill="FFFFFF"/>
              </w:rPr>
            </w:pPr>
          </w:p>
        </w:tc>
        <w:tc>
          <w:tcPr>
            <w:tcW w:w="2693" w:type="dxa"/>
            <w:vAlign w:val="center"/>
          </w:tcPr>
          <w:p w14:paraId="0B3C98CE">
            <w:pPr>
              <w:tabs>
                <w:tab w:val="left" w:pos="851"/>
              </w:tabs>
              <w:ind w:firstLine="0"/>
              <w:jc w:val="center"/>
              <w:rPr>
                <w:shd w:val="clear" w:color="auto" w:fill="FFFFFF"/>
              </w:rPr>
            </w:pPr>
            <w:r>
              <w:rPr>
                <w:rStyle w:val="10"/>
                <w:shd w:val="clear" w:color="auto" w:fill="FFFFFF"/>
              </w:rPr>
              <w:t>Valentinas Tamulis</w:t>
            </w:r>
          </w:p>
        </w:tc>
        <w:tc>
          <w:tcPr>
            <w:tcW w:w="1559" w:type="dxa"/>
            <w:vAlign w:val="center"/>
          </w:tcPr>
          <w:p w14:paraId="2EBEC5D1">
            <w:pPr>
              <w:tabs>
                <w:tab w:val="left" w:pos="851"/>
              </w:tabs>
              <w:ind w:firstLine="0"/>
              <w:jc w:val="center"/>
              <w:rPr>
                <w:shd w:val="clear" w:color="auto" w:fill="FFFFFF"/>
              </w:rPr>
            </w:pPr>
          </w:p>
        </w:tc>
      </w:tr>
      <w:tr w14:paraId="4388C0F1">
        <w:tblPrEx>
          <w:tblCellMar>
            <w:top w:w="0" w:type="dxa"/>
            <w:left w:w="108" w:type="dxa"/>
            <w:bottom w:w="0" w:type="dxa"/>
            <w:right w:w="108" w:type="dxa"/>
          </w:tblCellMar>
        </w:tblPrEx>
        <w:tc>
          <w:tcPr>
            <w:tcW w:w="2835" w:type="dxa"/>
            <w:vAlign w:val="center"/>
          </w:tcPr>
          <w:p w14:paraId="0E2DA440">
            <w:pPr>
              <w:tabs>
                <w:tab w:val="left" w:pos="851"/>
              </w:tabs>
              <w:ind w:firstLine="0"/>
              <w:rPr>
                <w:rFonts w:eastAsia="Calibri"/>
                <w:spacing w:val="2"/>
              </w:rPr>
            </w:pPr>
          </w:p>
        </w:tc>
        <w:tc>
          <w:tcPr>
            <w:tcW w:w="2401" w:type="dxa"/>
            <w:vAlign w:val="center"/>
          </w:tcPr>
          <w:p w14:paraId="0802E300">
            <w:pPr>
              <w:tabs>
                <w:tab w:val="left" w:pos="851"/>
              </w:tabs>
              <w:ind w:firstLine="0"/>
              <w:jc w:val="center"/>
              <w:rPr>
                <w:shd w:val="clear" w:color="auto" w:fill="FFFFFF"/>
              </w:rPr>
            </w:pPr>
            <w:r>
              <w:rPr>
                <w:rFonts w:eastAsia="Calibri"/>
                <w:i/>
                <w:spacing w:val="2"/>
              </w:rPr>
              <w:t>(parašas)</w:t>
            </w:r>
          </w:p>
        </w:tc>
        <w:tc>
          <w:tcPr>
            <w:tcW w:w="2693" w:type="dxa"/>
            <w:vAlign w:val="center"/>
          </w:tcPr>
          <w:p w14:paraId="71CB2FDE">
            <w:pPr>
              <w:tabs>
                <w:tab w:val="left" w:pos="851"/>
              </w:tabs>
              <w:ind w:firstLine="0"/>
              <w:jc w:val="center"/>
              <w:rPr>
                <w:rFonts w:eastAsia="Calibri"/>
                <w:spacing w:val="2"/>
              </w:rPr>
            </w:pPr>
          </w:p>
        </w:tc>
        <w:tc>
          <w:tcPr>
            <w:tcW w:w="1559" w:type="dxa"/>
            <w:vAlign w:val="center"/>
          </w:tcPr>
          <w:p w14:paraId="1AF852AF">
            <w:pPr>
              <w:tabs>
                <w:tab w:val="left" w:pos="851"/>
              </w:tabs>
              <w:ind w:firstLine="0"/>
              <w:jc w:val="center"/>
              <w:rPr>
                <w:shd w:val="clear" w:color="auto" w:fill="FFFFFF"/>
              </w:rPr>
            </w:pPr>
            <w:r>
              <w:rPr>
                <w:rFonts w:eastAsia="Calibri"/>
                <w:i/>
                <w:spacing w:val="2"/>
              </w:rPr>
              <w:t>(data)</w:t>
            </w:r>
          </w:p>
        </w:tc>
      </w:tr>
      <w:tr w14:paraId="4434C174">
        <w:tblPrEx>
          <w:tblCellMar>
            <w:top w:w="0" w:type="dxa"/>
            <w:left w:w="108" w:type="dxa"/>
            <w:bottom w:w="0" w:type="dxa"/>
            <w:right w:w="108" w:type="dxa"/>
          </w:tblCellMar>
        </w:tblPrEx>
        <w:tc>
          <w:tcPr>
            <w:tcW w:w="2835" w:type="dxa"/>
            <w:vAlign w:val="center"/>
          </w:tcPr>
          <w:p w14:paraId="705EAE52">
            <w:pPr>
              <w:tabs>
                <w:tab w:val="left" w:pos="851"/>
              </w:tabs>
              <w:ind w:firstLine="0"/>
              <w:rPr>
                <w:rFonts w:eastAsia="Calibri"/>
                <w:spacing w:val="2"/>
              </w:rPr>
            </w:pPr>
          </w:p>
        </w:tc>
        <w:tc>
          <w:tcPr>
            <w:tcW w:w="2401" w:type="dxa"/>
            <w:vAlign w:val="center"/>
          </w:tcPr>
          <w:p w14:paraId="7B5278A5">
            <w:pPr>
              <w:tabs>
                <w:tab w:val="left" w:pos="851"/>
              </w:tabs>
              <w:ind w:firstLine="0"/>
              <w:jc w:val="center"/>
              <w:rPr>
                <w:rFonts w:eastAsia="Calibri"/>
                <w:i/>
                <w:spacing w:val="2"/>
              </w:rPr>
            </w:pPr>
          </w:p>
        </w:tc>
        <w:tc>
          <w:tcPr>
            <w:tcW w:w="2693" w:type="dxa"/>
            <w:vAlign w:val="center"/>
          </w:tcPr>
          <w:p w14:paraId="25EB51B2">
            <w:pPr>
              <w:tabs>
                <w:tab w:val="left" w:pos="851"/>
              </w:tabs>
              <w:ind w:firstLine="0"/>
              <w:jc w:val="center"/>
              <w:rPr>
                <w:rFonts w:eastAsia="Calibri"/>
                <w:spacing w:val="2"/>
              </w:rPr>
            </w:pPr>
          </w:p>
        </w:tc>
        <w:tc>
          <w:tcPr>
            <w:tcW w:w="1559" w:type="dxa"/>
            <w:vAlign w:val="center"/>
          </w:tcPr>
          <w:p w14:paraId="4FA9E7F7">
            <w:pPr>
              <w:tabs>
                <w:tab w:val="left" w:pos="851"/>
              </w:tabs>
              <w:ind w:firstLine="0"/>
              <w:jc w:val="center"/>
              <w:rPr>
                <w:rFonts w:eastAsia="Calibri"/>
                <w:i/>
                <w:spacing w:val="2"/>
              </w:rPr>
            </w:pPr>
          </w:p>
        </w:tc>
      </w:tr>
      <w:tr w14:paraId="4CD0E7ED">
        <w:tblPrEx>
          <w:tblCellMar>
            <w:top w:w="0" w:type="dxa"/>
            <w:left w:w="108" w:type="dxa"/>
            <w:bottom w:w="0" w:type="dxa"/>
            <w:right w:w="108" w:type="dxa"/>
          </w:tblCellMar>
        </w:tblPrEx>
        <w:tc>
          <w:tcPr>
            <w:tcW w:w="2835" w:type="dxa"/>
            <w:vAlign w:val="center"/>
          </w:tcPr>
          <w:p w14:paraId="36EE46FF">
            <w:pPr>
              <w:tabs>
                <w:tab w:val="left" w:pos="851"/>
              </w:tabs>
              <w:ind w:firstLine="0"/>
              <w:rPr>
                <w:rFonts w:eastAsia="Calibri"/>
                <w:b/>
                <w:bCs/>
                <w:spacing w:val="2"/>
              </w:rPr>
            </w:pPr>
            <w:r>
              <w:rPr>
                <w:b/>
                <w:bCs/>
                <w:lang w:val="lt-LT"/>
              </w:rPr>
              <w:t xml:space="preserve">Prienų rajono </w:t>
            </w:r>
            <w:r>
              <w:rPr>
                <w:rFonts w:eastAsia="Calibri"/>
                <w:b/>
                <w:bCs/>
                <w:spacing w:val="2"/>
              </w:rPr>
              <w:t>savivaldybės meras</w:t>
            </w:r>
          </w:p>
        </w:tc>
        <w:tc>
          <w:tcPr>
            <w:tcW w:w="2401" w:type="dxa"/>
            <w:vAlign w:val="center"/>
          </w:tcPr>
          <w:p w14:paraId="6E2685E4">
            <w:pPr>
              <w:tabs>
                <w:tab w:val="left" w:pos="851"/>
              </w:tabs>
              <w:ind w:firstLine="0"/>
              <w:jc w:val="center"/>
              <w:rPr>
                <w:shd w:val="clear" w:color="auto" w:fill="FFFFFF"/>
              </w:rPr>
            </w:pPr>
          </w:p>
        </w:tc>
        <w:tc>
          <w:tcPr>
            <w:tcW w:w="2693" w:type="dxa"/>
            <w:vAlign w:val="center"/>
          </w:tcPr>
          <w:p w14:paraId="56EB7330">
            <w:pPr>
              <w:tabs>
                <w:tab w:val="left" w:pos="851"/>
              </w:tabs>
              <w:ind w:firstLine="0"/>
              <w:jc w:val="center"/>
              <w:rPr>
                <w:rFonts w:eastAsia="Calibri"/>
                <w:spacing w:val="2"/>
              </w:rPr>
            </w:pPr>
            <w:r>
              <w:rPr>
                <w:rStyle w:val="10"/>
                <w:shd w:val="clear" w:color="auto" w:fill="FFFFFF"/>
              </w:rPr>
              <w:t>Alvydas Vaicekauskas</w:t>
            </w:r>
          </w:p>
        </w:tc>
        <w:tc>
          <w:tcPr>
            <w:tcW w:w="1559" w:type="dxa"/>
            <w:vAlign w:val="center"/>
          </w:tcPr>
          <w:p w14:paraId="21AEDFEA">
            <w:pPr>
              <w:tabs>
                <w:tab w:val="left" w:pos="851"/>
              </w:tabs>
              <w:ind w:firstLine="0"/>
              <w:jc w:val="center"/>
              <w:rPr>
                <w:shd w:val="clear" w:color="auto" w:fill="FFFFFF"/>
              </w:rPr>
            </w:pPr>
          </w:p>
        </w:tc>
      </w:tr>
      <w:tr w14:paraId="5462DD4A">
        <w:tblPrEx>
          <w:tblCellMar>
            <w:top w:w="0" w:type="dxa"/>
            <w:left w:w="108" w:type="dxa"/>
            <w:bottom w:w="0" w:type="dxa"/>
            <w:right w:w="108" w:type="dxa"/>
          </w:tblCellMar>
        </w:tblPrEx>
        <w:tc>
          <w:tcPr>
            <w:tcW w:w="2835" w:type="dxa"/>
            <w:vAlign w:val="center"/>
          </w:tcPr>
          <w:p w14:paraId="055E59B9">
            <w:pPr>
              <w:tabs>
                <w:tab w:val="left" w:pos="851"/>
              </w:tabs>
              <w:ind w:firstLine="0"/>
              <w:rPr>
                <w:rFonts w:eastAsia="Calibri"/>
                <w:spacing w:val="2"/>
              </w:rPr>
            </w:pPr>
          </w:p>
        </w:tc>
        <w:tc>
          <w:tcPr>
            <w:tcW w:w="2401" w:type="dxa"/>
            <w:vAlign w:val="center"/>
          </w:tcPr>
          <w:p w14:paraId="0FA4D3E5">
            <w:pPr>
              <w:tabs>
                <w:tab w:val="left" w:pos="851"/>
              </w:tabs>
              <w:ind w:firstLine="0"/>
              <w:jc w:val="center"/>
              <w:rPr>
                <w:shd w:val="clear" w:color="auto" w:fill="FFFFFF"/>
              </w:rPr>
            </w:pPr>
            <w:r>
              <w:rPr>
                <w:rFonts w:eastAsia="Calibri"/>
                <w:i/>
                <w:spacing w:val="2"/>
              </w:rPr>
              <w:t>(parašas)</w:t>
            </w:r>
          </w:p>
        </w:tc>
        <w:tc>
          <w:tcPr>
            <w:tcW w:w="2693" w:type="dxa"/>
            <w:vAlign w:val="center"/>
          </w:tcPr>
          <w:p w14:paraId="4161A8D2">
            <w:pPr>
              <w:tabs>
                <w:tab w:val="left" w:pos="851"/>
              </w:tabs>
              <w:ind w:firstLine="0"/>
              <w:jc w:val="center"/>
              <w:rPr>
                <w:rFonts w:eastAsia="Calibri"/>
                <w:spacing w:val="2"/>
              </w:rPr>
            </w:pPr>
          </w:p>
        </w:tc>
        <w:tc>
          <w:tcPr>
            <w:tcW w:w="1559" w:type="dxa"/>
            <w:vAlign w:val="center"/>
          </w:tcPr>
          <w:p w14:paraId="5A9655B5">
            <w:pPr>
              <w:tabs>
                <w:tab w:val="left" w:pos="851"/>
              </w:tabs>
              <w:ind w:firstLine="0"/>
              <w:jc w:val="center"/>
              <w:rPr>
                <w:shd w:val="clear" w:color="auto" w:fill="FFFFFF"/>
              </w:rPr>
            </w:pPr>
            <w:r>
              <w:rPr>
                <w:rFonts w:eastAsia="Calibri"/>
                <w:i/>
                <w:spacing w:val="2"/>
              </w:rPr>
              <w:t>(data)</w:t>
            </w:r>
          </w:p>
        </w:tc>
      </w:tr>
      <w:tr w14:paraId="5D5FC63F">
        <w:tblPrEx>
          <w:tblCellMar>
            <w:top w:w="0" w:type="dxa"/>
            <w:left w:w="108" w:type="dxa"/>
            <w:bottom w:w="0" w:type="dxa"/>
            <w:right w:w="108" w:type="dxa"/>
          </w:tblCellMar>
        </w:tblPrEx>
        <w:tc>
          <w:tcPr>
            <w:tcW w:w="2835" w:type="dxa"/>
            <w:vAlign w:val="center"/>
          </w:tcPr>
          <w:p w14:paraId="6FD0463B">
            <w:pPr>
              <w:tabs>
                <w:tab w:val="left" w:pos="851"/>
              </w:tabs>
              <w:ind w:firstLine="0"/>
              <w:rPr>
                <w:rFonts w:eastAsia="Calibri"/>
                <w:spacing w:val="2"/>
              </w:rPr>
            </w:pPr>
          </w:p>
        </w:tc>
        <w:tc>
          <w:tcPr>
            <w:tcW w:w="2401" w:type="dxa"/>
            <w:vAlign w:val="center"/>
          </w:tcPr>
          <w:p w14:paraId="24234A49">
            <w:pPr>
              <w:tabs>
                <w:tab w:val="left" w:pos="851"/>
              </w:tabs>
              <w:ind w:firstLine="0"/>
              <w:jc w:val="center"/>
              <w:rPr>
                <w:rFonts w:eastAsia="Calibri"/>
                <w:i/>
                <w:spacing w:val="2"/>
              </w:rPr>
            </w:pPr>
          </w:p>
        </w:tc>
        <w:tc>
          <w:tcPr>
            <w:tcW w:w="2693" w:type="dxa"/>
            <w:vAlign w:val="center"/>
          </w:tcPr>
          <w:p w14:paraId="78E587F1">
            <w:pPr>
              <w:tabs>
                <w:tab w:val="left" w:pos="851"/>
              </w:tabs>
              <w:ind w:firstLine="0"/>
              <w:jc w:val="center"/>
              <w:rPr>
                <w:rFonts w:eastAsia="Calibri"/>
                <w:spacing w:val="2"/>
              </w:rPr>
            </w:pPr>
          </w:p>
        </w:tc>
        <w:tc>
          <w:tcPr>
            <w:tcW w:w="1559" w:type="dxa"/>
            <w:vAlign w:val="center"/>
          </w:tcPr>
          <w:p w14:paraId="189D15F3">
            <w:pPr>
              <w:tabs>
                <w:tab w:val="left" w:pos="851"/>
              </w:tabs>
              <w:ind w:firstLine="0"/>
              <w:jc w:val="center"/>
              <w:rPr>
                <w:rFonts w:eastAsia="Calibri"/>
                <w:i/>
                <w:spacing w:val="2"/>
              </w:rPr>
            </w:pPr>
          </w:p>
        </w:tc>
      </w:tr>
      <w:tr w14:paraId="0F357AB3">
        <w:tblPrEx>
          <w:tblCellMar>
            <w:top w:w="0" w:type="dxa"/>
            <w:left w:w="108" w:type="dxa"/>
            <w:bottom w:w="0" w:type="dxa"/>
            <w:right w:w="108" w:type="dxa"/>
          </w:tblCellMar>
        </w:tblPrEx>
        <w:tc>
          <w:tcPr>
            <w:tcW w:w="2835" w:type="dxa"/>
            <w:vAlign w:val="center"/>
          </w:tcPr>
          <w:p w14:paraId="3E4536DA">
            <w:pPr>
              <w:tabs>
                <w:tab w:val="left" w:pos="851"/>
              </w:tabs>
              <w:ind w:firstLine="0"/>
              <w:rPr>
                <w:rFonts w:eastAsia="Calibri"/>
                <w:b/>
                <w:bCs/>
                <w:spacing w:val="2"/>
              </w:rPr>
            </w:pPr>
            <w:r>
              <w:rPr>
                <w:b/>
                <w:bCs/>
                <w:lang w:val="lt-LT"/>
              </w:rPr>
              <w:t xml:space="preserve">Raseinių rajono </w:t>
            </w:r>
            <w:r>
              <w:rPr>
                <w:rFonts w:eastAsia="Calibri"/>
                <w:b/>
                <w:bCs/>
                <w:spacing w:val="2"/>
              </w:rPr>
              <w:t>savivaldybės meras</w:t>
            </w:r>
          </w:p>
        </w:tc>
        <w:tc>
          <w:tcPr>
            <w:tcW w:w="2401" w:type="dxa"/>
            <w:vAlign w:val="center"/>
          </w:tcPr>
          <w:p w14:paraId="00562C7B">
            <w:pPr>
              <w:tabs>
                <w:tab w:val="left" w:pos="851"/>
              </w:tabs>
              <w:ind w:firstLine="0"/>
              <w:jc w:val="center"/>
              <w:rPr>
                <w:shd w:val="clear" w:color="auto" w:fill="FFFFFF"/>
              </w:rPr>
            </w:pPr>
          </w:p>
        </w:tc>
        <w:tc>
          <w:tcPr>
            <w:tcW w:w="2693" w:type="dxa"/>
            <w:vAlign w:val="center"/>
          </w:tcPr>
          <w:p w14:paraId="04F511A6">
            <w:pPr>
              <w:tabs>
                <w:tab w:val="left" w:pos="851"/>
              </w:tabs>
              <w:ind w:firstLine="0"/>
              <w:jc w:val="center"/>
              <w:rPr>
                <w:rFonts w:eastAsia="Calibri"/>
                <w:spacing w:val="2"/>
              </w:rPr>
            </w:pPr>
            <w:r>
              <w:rPr>
                <w:rStyle w:val="10"/>
                <w:shd w:val="clear" w:color="auto" w:fill="FFFFFF"/>
              </w:rPr>
              <w:t>Arvydas Nekrošius</w:t>
            </w:r>
          </w:p>
        </w:tc>
        <w:tc>
          <w:tcPr>
            <w:tcW w:w="1559" w:type="dxa"/>
            <w:vAlign w:val="center"/>
          </w:tcPr>
          <w:p w14:paraId="48B2D22A">
            <w:pPr>
              <w:tabs>
                <w:tab w:val="left" w:pos="851"/>
              </w:tabs>
              <w:ind w:firstLine="0"/>
              <w:jc w:val="center"/>
              <w:rPr>
                <w:shd w:val="clear" w:color="auto" w:fill="FFFFFF"/>
              </w:rPr>
            </w:pPr>
          </w:p>
        </w:tc>
      </w:tr>
      <w:tr w14:paraId="36A5DF54">
        <w:tblPrEx>
          <w:tblCellMar>
            <w:top w:w="0" w:type="dxa"/>
            <w:left w:w="108" w:type="dxa"/>
            <w:bottom w:w="0" w:type="dxa"/>
            <w:right w:w="108" w:type="dxa"/>
          </w:tblCellMar>
        </w:tblPrEx>
        <w:tc>
          <w:tcPr>
            <w:tcW w:w="2835" w:type="dxa"/>
            <w:vAlign w:val="center"/>
          </w:tcPr>
          <w:p w14:paraId="11B0E5C5">
            <w:pPr>
              <w:tabs>
                <w:tab w:val="left" w:pos="851"/>
              </w:tabs>
              <w:ind w:firstLine="0"/>
              <w:rPr>
                <w:rFonts w:eastAsia="Calibri"/>
                <w:spacing w:val="2"/>
              </w:rPr>
            </w:pPr>
          </w:p>
        </w:tc>
        <w:tc>
          <w:tcPr>
            <w:tcW w:w="2401" w:type="dxa"/>
            <w:vAlign w:val="center"/>
          </w:tcPr>
          <w:p w14:paraId="4A6B67A5">
            <w:pPr>
              <w:tabs>
                <w:tab w:val="left" w:pos="851"/>
              </w:tabs>
              <w:ind w:firstLine="0"/>
              <w:jc w:val="center"/>
              <w:rPr>
                <w:shd w:val="clear" w:color="auto" w:fill="FFFFFF"/>
              </w:rPr>
            </w:pPr>
            <w:r>
              <w:rPr>
                <w:rFonts w:eastAsia="Calibri"/>
                <w:i/>
                <w:spacing w:val="2"/>
              </w:rPr>
              <w:t>(parašas)</w:t>
            </w:r>
          </w:p>
        </w:tc>
        <w:tc>
          <w:tcPr>
            <w:tcW w:w="2693" w:type="dxa"/>
            <w:vAlign w:val="center"/>
          </w:tcPr>
          <w:p w14:paraId="1573FDCF">
            <w:pPr>
              <w:tabs>
                <w:tab w:val="left" w:pos="851"/>
              </w:tabs>
              <w:ind w:firstLine="0"/>
              <w:jc w:val="center"/>
              <w:rPr>
                <w:rFonts w:eastAsia="Calibri"/>
                <w:spacing w:val="2"/>
              </w:rPr>
            </w:pPr>
          </w:p>
        </w:tc>
        <w:tc>
          <w:tcPr>
            <w:tcW w:w="1559" w:type="dxa"/>
            <w:vAlign w:val="center"/>
          </w:tcPr>
          <w:p w14:paraId="1DDCB203">
            <w:pPr>
              <w:tabs>
                <w:tab w:val="left" w:pos="851"/>
              </w:tabs>
              <w:ind w:firstLine="0"/>
              <w:jc w:val="center"/>
              <w:rPr>
                <w:shd w:val="clear" w:color="auto" w:fill="FFFFFF"/>
              </w:rPr>
            </w:pPr>
            <w:r>
              <w:rPr>
                <w:rFonts w:eastAsia="Calibri"/>
                <w:i/>
                <w:spacing w:val="2"/>
              </w:rPr>
              <w:t>(data)</w:t>
            </w:r>
          </w:p>
        </w:tc>
      </w:tr>
      <w:tr w14:paraId="044AE3B0">
        <w:tblPrEx>
          <w:tblCellMar>
            <w:top w:w="0" w:type="dxa"/>
            <w:left w:w="108" w:type="dxa"/>
            <w:bottom w:w="0" w:type="dxa"/>
            <w:right w:w="108" w:type="dxa"/>
          </w:tblCellMar>
        </w:tblPrEx>
        <w:tc>
          <w:tcPr>
            <w:tcW w:w="2835" w:type="dxa"/>
            <w:vAlign w:val="center"/>
          </w:tcPr>
          <w:p w14:paraId="147562E0">
            <w:pPr>
              <w:tabs>
                <w:tab w:val="left" w:pos="851"/>
              </w:tabs>
              <w:ind w:firstLine="850"/>
              <w:rPr>
                <w:rFonts w:eastAsia="Calibri"/>
                <w:spacing w:val="2"/>
              </w:rPr>
            </w:pPr>
          </w:p>
        </w:tc>
        <w:tc>
          <w:tcPr>
            <w:tcW w:w="2401" w:type="dxa"/>
            <w:vAlign w:val="center"/>
          </w:tcPr>
          <w:p w14:paraId="765ED82E">
            <w:pPr>
              <w:tabs>
                <w:tab w:val="left" w:pos="851"/>
              </w:tabs>
              <w:ind w:firstLine="850"/>
              <w:jc w:val="center"/>
              <w:rPr>
                <w:shd w:val="clear" w:color="auto" w:fill="FFFFFF"/>
              </w:rPr>
            </w:pPr>
          </w:p>
        </w:tc>
        <w:tc>
          <w:tcPr>
            <w:tcW w:w="2693" w:type="dxa"/>
            <w:vAlign w:val="center"/>
          </w:tcPr>
          <w:p w14:paraId="2F984E61">
            <w:pPr>
              <w:tabs>
                <w:tab w:val="left" w:pos="851"/>
              </w:tabs>
              <w:ind w:firstLine="850"/>
              <w:jc w:val="center"/>
              <w:rPr>
                <w:rFonts w:eastAsia="Calibri"/>
                <w:spacing w:val="2"/>
              </w:rPr>
            </w:pPr>
          </w:p>
        </w:tc>
        <w:tc>
          <w:tcPr>
            <w:tcW w:w="1559" w:type="dxa"/>
            <w:vAlign w:val="center"/>
          </w:tcPr>
          <w:p w14:paraId="0103A7D9">
            <w:pPr>
              <w:tabs>
                <w:tab w:val="left" w:pos="851"/>
              </w:tabs>
              <w:ind w:firstLine="850"/>
              <w:jc w:val="center"/>
              <w:rPr>
                <w:shd w:val="clear" w:color="auto" w:fill="FFFFFF"/>
              </w:rPr>
            </w:pPr>
          </w:p>
        </w:tc>
      </w:tr>
    </w:tbl>
    <w:p w14:paraId="480D7EBA">
      <w:pPr>
        <w:widowControl w:val="0"/>
        <w:autoSpaceDE w:val="0"/>
        <w:autoSpaceDN w:val="0"/>
        <w:adjustRightInd w:val="0"/>
        <w:ind w:firstLine="850"/>
        <w:jc w:val="center"/>
        <w:rPr>
          <w:b/>
          <w:lang w:val="lt-LT"/>
        </w:rPr>
      </w:pPr>
    </w:p>
    <w:p w14:paraId="1C647266">
      <w:pPr>
        <w:widowControl w:val="0"/>
        <w:autoSpaceDE w:val="0"/>
        <w:autoSpaceDN w:val="0"/>
        <w:adjustRightInd w:val="0"/>
        <w:ind w:firstLine="850"/>
        <w:jc w:val="center"/>
        <w:rPr>
          <w:b/>
          <w:lang w:val="lt-LT"/>
        </w:rPr>
      </w:pPr>
      <w:r>
        <w:rPr>
          <w:lang w:val="lt-LT"/>
        </w:rPr>
        <w:t>______________________</w:t>
      </w:r>
    </w:p>
    <w:sectPr>
      <w:pgSz w:w="11906" w:h="16838"/>
      <w:pgMar w:top="1134" w:right="567" w:bottom="1134" w:left="1701" w:header="567" w:footer="567"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trackRevisions w:val="1"/>
  <w:documentProtection w:enforcement="0"/>
  <w:defaultTabStop w:val="1296"/>
  <w:hyphenationZone w:val="396"/>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613"/>
    <w:rsid w:val="00020245"/>
    <w:rsid w:val="00023073"/>
    <w:rsid w:val="00023684"/>
    <w:rsid w:val="000252D5"/>
    <w:rsid w:val="00035F90"/>
    <w:rsid w:val="00042CC7"/>
    <w:rsid w:val="00087B6D"/>
    <w:rsid w:val="000A48E5"/>
    <w:rsid w:val="000B3BE0"/>
    <w:rsid w:val="000B70D5"/>
    <w:rsid w:val="000F68CE"/>
    <w:rsid w:val="00104D3C"/>
    <w:rsid w:val="001149A5"/>
    <w:rsid w:val="00116EEA"/>
    <w:rsid w:val="001553EC"/>
    <w:rsid w:val="00167426"/>
    <w:rsid w:val="00183E3E"/>
    <w:rsid w:val="001A33A3"/>
    <w:rsid w:val="001C2F00"/>
    <w:rsid w:val="001C44F2"/>
    <w:rsid w:val="001C4E95"/>
    <w:rsid w:val="001F0B34"/>
    <w:rsid w:val="0022764B"/>
    <w:rsid w:val="00240B4E"/>
    <w:rsid w:val="0025031D"/>
    <w:rsid w:val="00250A22"/>
    <w:rsid w:val="00273AC3"/>
    <w:rsid w:val="00285AE9"/>
    <w:rsid w:val="0029177C"/>
    <w:rsid w:val="0029591C"/>
    <w:rsid w:val="00295EBE"/>
    <w:rsid w:val="002B01A8"/>
    <w:rsid w:val="002B0965"/>
    <w:rsid w:val="002C14BF"/>
    <w:rsid w:val="002C635A"/>
    <w:rsid w:val="002D6753"/>
    <w:rsid w:val="002E0CAA"/>
    <w:rsid w:val="002F45BD"/>
    <w:rsid w:val="0030463F"/>
    <w:rsid w:val="00341FAF"/>
    <w:rsid w:val="003474B8"/>
    <w:rsid w:val="003637D7"/>
    <w:rsid w:val="003656F0"/>
    <w:rsid w:val="00370E54"/>
    <w:rsid w:val="00371C92"/>
    <w:rsid w:val="003D2A4D"/>
    <w:rsid w:val="003D495B"/>
    <w:rsid w:val="004075A7"/>
    <w:rsid w:val="00410499"/>
    <w:rsid w:val="004136F1"/>
    <w:rsid w:val="004245F8"/>
    <w:rsid w:val="00427AA6"/>
    <w:rsid w:val="00442960"/>
    <w:rsid w:val="004463CE"/>
    <w:rsid w:val="004521BB"/>
    <w:rsid w:val="004676ED"/>
    <w:rsid w:val="00472D94"/>
    <w:rsid w:val="00491E5F"/>
    <w:rsid w:val="00494C32"/>
    <w:rsid w:val="004B443E"/>
    <w:rsid w:val="004B5701"/>
    <w:rsid w:val="004C0E54"/>
    <w:rsid w:val="004C4DCB"/>
    <w:rsid w:val="004E3EBD"/>
    <w:rsid w:val="004E5072"/>
    <w:rsid w:val="004F410E"/>
    <w:rsid w:val="004F796C"/>
    <w:rsid w:val="0050039E"/>
    <w:rsid w:val="00501077"/>
    <w:rsid w:val="0050530D"/>
    <w:rsid w:val="00533BC8"/>
    <w:rsid w:val="00540F29"/>
    <w:rsid w:val="00561705"/>
    <w:rsid w:val="0059669A"/>
    <w:rsid w:val="005B7947"/>
    <w:rsid w:val="005C18B7"/>
    <w:rsid w:val="005C3D02"/>
    <w:rsid w:val="005C744F"/>
    <w:rsid w:val="006033F9"/>
    <w:rsid w:val="00610E22"/>
    <w:rsid w:val="00611E93"/>
    <w:rsid w:val="00630E55"/>
    <w:rsid w:val="0067381B"/>
    <w:rsid w:val="00673D9B"/>
    <w:rsid w:val="006826CE"/>
    <w:rsid w:val="0069096F"/>
    <w:rsid w:val="006A258E"/>
    <w:rsid w:val="006A56F8"/>
    <w:rsid w:val="006B2F02"/>
    <w:rsid w:val="006C0083"/>
    <w:rsid w:val="006C0325"/>
    <w:rsid w:val="006C6120"/>
    <w:rsid w:val="006F3632"/>
    <w:rsid w:val="006F6E90"/>
    <w:rsid w:val="00710548"/>
    <w:rsid w:val="007304BF"/>
    <w:rsid w:val="00742BE7"/>
    <w:rsid w:val="0075050C"/>
    <w:rsid w:val="0075651A"/>
    <w:rsid w:val="00757379"/>
    <w:rsid w:val="007616F9"/>
    <w:rsid w:val="007734B3"/>
    <w:rsid w:val="00774511"/>
    <w:rsid w:val="007A1756"/>
    <w:rsid w:val="007A2CC5"/>
    <w:rsid w:val="007B6329"/>
    <w:rsid w:val="007C16B6"/>
    <w:rsid w:val="007C47E8"/>
    <w:rsid w:val="007C57AD"/>
    <w:rsid w:val="007D6516"/>
    <w:rsid w:val="007E0239"/>
    <w:rsid w:val="007E5DEE"/>
    <w:rsid w:val="007F12B7"/>
    <w:rsid w:val="007F7410"/>
    <w:rsid w:val="008458AB"/>
    <w:rsid w:val="00847F4E"/>
    <w:rsid w:val="00853327"/>
    <w:rsid w:val="00856879"/>
    <w:rsid w:val="008714E8"/>
    <w:rsid w:val="008738F9"/>
    <w:rsid w:val="008844DC"/>
    <w:rsid w:val="00886F2C"/>
    <w:rsid w:val="00892BA1"/>
    <w:rsid w:val="00896499"/>
    <w:rsid w:val="008A44C8"/>
    <w:rsid w:val="008C5240"/>
    <w:rsid w:val="008D08D7"/>
    <w:rsid w:val="00900723"/>
    <w:rsid w:val="00907FCF"/>
    <w:rsid w:val="009104DF"/>
    <w:rsid w:val="00913487"/>
    <w:rsid w:val="00946035"/>
    <w:rsid w:val="00983EDB"/>
    <w:rsid w:val="009859C7"/>
    <w:rsid w:val="00987361"/>
    <w:rsid w:val="009B1613"/>
    <w:rsid w:val="009C57E8"/>
    <w:rsid w:val="009F580F"/>
    <w:rsid w:val="00A07562"/>
    <w:rsid w:val="00A11D90"/>
    <w:rsid w:val="00A22BBE"/>
    <w:rsid w:val="00A2328C"/>
    <w:rsid w:val="00A34D37"/>
    <w:rsid w:val="00A400BB"/>
    <w:rsid w:val="00A53604"/>
    <w:rsid w:val="00A654C7"/>
    <w:rsid w:val="00A778C6"/>
    <w:rsid w:val="00A83C3E"/>
    <w:rsid w:val="00A93FA7"/>
    <w:rsid w:val="00A96052"/>
    <w:rsid w:val="00AB6A63"/>
    <w:rsid w:val="00AB6B2D"/>
    <w:rsid w:val="00AC6074"/>
    <w:rsid w:val="00AD729C"/>
    <w:rsid w:val="00AD79F3"/>
    <w:rsid w:val="00B2150A"/>
    <w:rsid w:val="00B40AF1"/>
    <w:rsid w:val="00B557BD"/>
    <w:rsid w:val="00B60664"/>
    <w:rsid w:val="00B716BE"/>
    <w:rsid w:val="00B8524D"/>
    <w:rsid w:val="00B96996"/>
    <w:rsid w:val="00BB0F0A"/>
    <w:rsid w:val="00BC6772"/>
    <w:rsid w:val="00BD1D63"/>
    <w:rsid w:val="00BE4A90"/>
    <w:rsid w:val="00BF1B43"/>
    <w:rsid w:val="00BF2B26"/>
    <w:rsid w:val="00BF4B27"/>
    <w:rsid w:val="00C0076E"/>
    <w:rsid w:val="00C17FB8"/>
    <w:rsid w:val="00C23C39"/>
    <w:rsid w:val="00C425D7"/>
    <w:rsid w:val="00C64510"/>
    <w:rsid w:val="00C664CE"/>
    <w:rsid w:val="00C85EEE"/>
    <w:rsid w:val="00C86BAF"/>
    <w:rsid w:val="00C9599E"/>
    <w:rsid w:val="00C95E77"/>
    <w:rsid w:val="00C97D9F"/>
    <w:rsid w:val="00CA332F"/>
    <w:rsid w:val="00CB5034"/>
    <w:rsid w:val="00CB5074"/>
    <w:rsid w:val="00D55BF1"/>
    <w:rsid w:val="00D57FE6"/>
    <w:rsid w:val="00D854CC"/>
    <w:rsid w:val="00D972CF"/>
    <w:rsid w:val="00DA5609"/>
    <w:rsid w:val="00DB0350"/>
    <w:rsid w:val="00DD3AAD"/>
    <w:rsid w:val="00DE0F98"/>
    <w:rsid w:val="00DE1464"/>
    <w:rsid w:val="00DE3985"/>
    <w:rsid w:val="00DE52B4"/>
    <w:rsid w:val="00E17571"/>
    <w:rsid w:val="00E2241E"/>
    <w:rsid w:val="00E24650"/>
    <w:rsid w:val="00E5542B"/>
    <w:rsid w:val="00E56006"/>
    <w:rsid w:val="00E804D6"/>
    <w:rsid w:val="00E80B8C"/>
    <w:rsid w:val="00EB123E"/>
    <w:rsid w:val="00EB2B3F"/>
    <w:rsid w:val="00EC0696"/>
    <w:rsid w:val="00ED209A"/>
    <w:rsid w:val="00ED7B20"/>
    <w:rsid w:val="00EE7CC9"/>
    <w:rsid w:val="00F117DF"/>
    <w:rsid w:val="00F311B4"/>
    <w:rsid w:val="00F52AD8"/>
    <w:rsid w:val="00F657E8"/>
    <w:rsid w:val="00F71386"/>
    <w:rsid w:val="00F76865"/>
    <w:rsid w:val="00F845F1"/>
    <w:rsid w:val="00F85A3B"/>
    <w:rsid w:val="00F93742"/>
    <w:rsid w:val="00FA29D1"/>
    <w:rsid w:val="00FA2A8D"/>
    <w:rsid w:val="00FB0843"/>
    <w:rsid w:val="00FC24CE"/>
    <w:rsid w:val="08902B41"/>
    <w:rsid w:val="483A7D1F"/>
    <w:rsid w:val="6BCE548A"/>
    <w:rsid w:val="70A97446"/>
    <w:rsid w:val="75BD24DF"/>
    <w:rsid w:val="7834700F"/>
    <w:rsid w:val="7D2370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en-US"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annotation text"/>
    <w:basedOn w:val="1"/>
    <w:link w:val="12"/>
    <w:unhideWhenUsed/>
    <w:qFormat/>
    <w:uiPriority w:val="99"/>
    <w:rPr>
      <w:sz w:val="20"/>
      <w:szCs w:val="20"/>
    </w:rPr>
  </w:style>
  <w:style w:type="paragraph" w:styleId="6">
    <w:name w:val="annotation subject"/>
    <w:basedOn w:val="5"/>
    <w:next w:val="5"/>
    <w:link w:val="13"/>
    <w:semiHidden/>
    <w:unhideWhenUsed/>
    <w:qFormat/>
    <w:uiPriority w:val="99"/>
    <w:rPr>
      <w:b/>
      <w:bCs/>
    </w:rPr>
  </w:style>
  <w:style w:type="character" w:styleId="7">
    <w:name w:val="endnote reference"/>
    <w:basedOn w:val="2"/>
    <w:semiHidden/>
    <w:unhideWhenUsed/>
    <w:qFormat/>
    <w:uiPriority w:val="99"/>
    <w:rPr>
      <w:vertAlign w:val="superscript"/>
    </w:rPr>
  </w:style>
  <w:style w:type="paragraph" w:styleId="8">
    <w:name w:val="endnote text"/>
    <w:basedOn w:val="1"/>
    <w:link w:val="14"/>
    <w:semiHidden/>
    <w:unhideWhenUsed/>
    <w:qFormat/>
    <w:uiPriority w:val="99"/>
    <w:rPr>
      <w:sz w:val="20"/>
      <w:szCs w:val="20"/>
    </w:rPr>
  </w:style>
  <w:style w:type="paragraph" w:styleId="9">
    <w:name w:val="Normal (Web)"/>
    <w:basedOn w:val="1"/>
    <w:unhideWhenUsed/>
    <w:qFormat/>
    <w:uiPriority w:val="99"/>
    <w:pPr>
      <w:spacing w:before="100" w:beforeAutospacing="1" w:after="100" w:afterAutospacing="1"/>
    </w:pPr>
    <w:rPr>
      <w:lang w:val="lt-LT" w:eastAsia="lt-LT"/>
    </w:rPr>
  </w:style>
  <w:style w:type="character" w:styleId="10">
    <w:name w:val="Strong"/>
    <w:qFormat/>
    <w:uiPriority w:val="22"/>
    <w:rPr>
      <w:b/>
      <w:bCs/>
    </w:rPr>
  </w:style>
  <w:style w:type="paragraph" w:styleId="11">
    <w:name w:val="List Paragraph"/>
    <w:basedOn w:val="1"/>
    <w:qFormat/>
    <w:uiPriority w:val="34"/>
    <w:pPr>
      <w:ind w:left="720"/>
      <w:contextualSpacing/>
    </w:pPr>
  </w:style>
  <w:style w:type="character" w:customStyle="1" w:styleId="12">
    <w:name w:val="Komentaro tekstas Diagrama"/>
    <w:basedOn w:val="2"/>
    <w:link w:val="5"/>
    <w:qFormat/>
    <w:uiPriority w:val="99"/>
    <w:rPr>
      <w:rFonts w:ascii="Times New Roman" w:hAnsi="Times New Roman" w:eastAsia="Times New Roman" w:cs="Times New Roman"/>
      <w:kern w:val="0"/>
      <w:sz w:val="20"/>
      <w:szCs w:val="20"/>
      <w:lang w:val="en-US"/>
      <w14:ligatures w14:val="none"/>
    </w:rPr>
  </w:style>
  <w:style w:type="character" w:customStyle="1" w:styleId="13">
    <w:name w:val="Komentaro tema Diagrama"/>
    <w:basedOn w:val="12"/>
    <w:link w:val="6"/>
    <w:semiHidden/>
    <w:qFormat/>
    <w:uiPriority w:val="99"/>
    <w:rPr>
      <w:rFonts w:ascii="Times New Roman" w:hAnsi="Times New Roman" w:eastAsia="Times New Roman" w:cs="Times New Roman"/>
      <w:b/>
      <w:bCs/>
      <w:kern w:val="0"/>
      <w:sz w:val="20"/>
      <w:szCs w:val="20"/>
      <w:lang w:val="en-US"/>
      <w14:ligatures w14:val="none"/>
    </w:rPr>
  </w:style>
  <w:style w:type="character" w:customStyle="1" w:styleId="14">
    <w:name w:val="Dokumento išnašos tekstas Diagrama"/>
    <w:basedOn w:val="2"/>
    <w:link w:val="8"/>
    <w:semiHidden/>
    <w:qFormat/>
    <w:uiPriority w:val="99"/>
    <w:rPr>
      <w:rFonts w:ascii="Times New Roman" w:hAnsi="Times New Roman" w:eastAsia="Times New Roman" w:cs="Times New Roman"/>
      <w:kern w:val="0"/>
      <w:sz w:val="20"/>
      <w:szCs w:val="20"/>
      <w:lang w:val="en-US"/>
      <w14:ligatures w14:val="none"/>
    </w:rPr>
  </w:style>
  <w:style w:type="paragraph" w:customStyle="1" w:styleId="15">
    <w:name w:val="Revision"/>
    <w:hidden/>
    <w:semiHidden/>
    <w:qFormat/>
    <w:uiPriority w:val="99"/>
    <w:pPr>
      <w:spacing w:after="0" w:line="240" w:lineRule="auto"/>
    </w:pPr>
    <w:rPr>
      <w:rFonts w:ascii="Times New Roman" w:hAnsi="Times New Roman" w:eastAsia="Times New Roman" w:cs="Times New Roman"/>
      <w:kern w:val="0"/>
      <w:sz w:val="24"/>
      <w:szCs w:val="24"/>
      <w:lang w:val="en-US" w:eastAsia="en-US" w:bidi="ar-SA"/>
      <w14:ligatures w14:val="none"/>
    </w:r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customXml/item1.xml"
                 Type="http://schemas.openxmlformats.org/officeDocument/2006/relationships/customXml"/>
   <Relationship Id="rId7" Target="../customXml/item2.xml"
                 Type="http://schemas.openxmlformats.org/officeDocument/2006/relationships/customXml"/>
   <Relationship Id="rId8" Target="../customXml/item3.xml"
                 Type="http://schemas.openxmlformats.org/officeDocument/2006/relationships/customXml"/>
   <Relationship Id="rId9" Target="../customXml/item4.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10" ma:contentTypeDescription="Kurkite naują dokumentą." ma:contentTypeScope="" ma:versionID="ed4049c38887a776fce2beffa2eb43ca">
  <xsd:schema xmlns:xsd="http://www.w3.org/2001/XMLSchema" xmlns:xs="http://www.w3.org/2001/XMLSchema" xmlns:p="http://schemas.microsoft.com/office/2006/metadata/properties" xmlns:ns3="a2075f5e-38b3-4c75-9128-dfa71ccda52c" xmlns:ns4="4203b16e-f15b-455c-b1a2-e02dc31a180f" targetNamespace="http://schemas.microsoft.com/office/2006/metadata/properties" ma:root="true" ma:fieldsID="c1cdcf337c45ad4e54017155975f4b21" ns3:_="" ns4:_="">
    <xsd:import namespace="a2075f5e-38b3-4c75-9128-dfa71ccda52c"/>
    <xsd:import namespace="4203b16e-f15b-455c-b1a2-e02dc31a18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3b16e-f15b-455c-b1a2-e02dc31a180f"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88E2D-4E12-480E-B161-94D95C5385A5}">
  <ds:schemaRefs/>
</ds:datastoreItem>
</file>

<file path=customXml/itemProps2.xml><?xml version="1.0" encoding="utf-8"?>
<ds:datastoreItem xmlns:ds="http://schemas.openxmlformats.org/officeDocument/2006/customXml" ds:itemID="{C0217FC3-1179-4B4B-968C-1C590070A970}">
  <ds:schemaRefs/>
</ds:datastoreItem>
</file>

<file path=customXml/itemProps3.xml><?xml version="1.0" encoding="utf-8"?>
<ds:datastoreItem xmlns:ds="http://schemas.openxmlformats.org/officeDocument/2006/customXml" ds:itemID="{79AC12FA-30E1-4D9F-BA02-B577F98D4874}">
  <ds:schemaRefs/>
</ds:datastoreItem>
</file>

<file path=customXml/itemProps4.xml><?xml version="1.0" encoding="utf-8"?>
<ds:datastoreItem xmlns:ds="http://schemas.openxmlformats.org/officeDocument/2006/customXml" ds:itemID="{3FFE7221-78FE-4714-90B3-99E8E1CDF0C2}">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10515</Words>
  <Characters>5994</Characters>
  <Lines>49</Lines>
  <Paragraphs>32</Paragraphs>
  <TotalTime>11</TotalTime>
  <ScaleCrop>false</ScaleCrop>
  <LinksUpToDate>false</LinksUpToDate>
  <CharactersWithSpaces>16477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2025-09-03T11:22:00Z</dcterms:created>
  <dc:creator>Vartotojas</dc:creator>
  <cp:lastModifiedBy>WPS_1680632850</cp:lastModifiedBy>
  <cp:lastPrinted>2025-09-03T06:33:00Z</cp:lastPrinted>
  <dcterms:modified xsi:type="dcterms:W3CDTF">2025-09-10T06:30:46Z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0x010100402C106342ADEF4497F9320EDF338703</vt:lpwstr>
  </property>
  <property fmtid="{D5CDD505-2E9C-101B-9397-08002B2CF9AE}" pid="3" name="KSOProductBuildVer">
    <vt:lpwstr>1033-12.2.0.21931</vt:lpwstr>
  </property>
  <property fmtid="{D5CDD505-2E9C-101B-9397-08002B2CF9AE}" pid="4" name="ICV">
    <vt:lpwstr>81568387C8DA44849D14BCED64F95E32_12</vt:lpwstr>
  </property>
</Properties>
</file>