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59E1" w14:textId="6E9DB5FC" w:rsidR="00717CCA" w:rsidRPr="006B2D4B" w:rsidRDefault="00717CCA" w:rsidP="006B2D4B">
      <w:pPr>
        <w:pStyle w:val="Pavadinimas"/>
        <w:ind w:firstLine="680"/>
        <w:contextualSpacing/>
        <w:jc w:val="right"/>
      </w:pPr>
      <w:r w:rsidRPr="006B2D4B">
        <w:t>Projektas</w:t>
      </w:r>
    </w:p>
    <w:p w14:paraId="4ABC3DFE" w14:textId="5045B8AB" w:rsidR="00F415AF" w:rsidRPr="006B2D4B" w:rsidRDefault="00970F02" w:rsidP="006B2D4B">
      <w:pPr>
        <w:pStyle w:val="Pavadinimas"/>
        <w:ind w:firstLine="680"/>
        <w:contextualSpacing/>
      </w:pPr>
      <w:r w:rsidRPr="006B2D4B">
        <w:rPr>
          <w:noProof/>
        </w:rPr>
        <w:drawing>
          <wp:inline distT="0" distB="0" distL="0" distR="0" wp14:anchorId="1BD5CF3A" wp14:editId="405D2448">
            <wp:extent cx="487680" cy="560705"/>
            <wp:effectExtent l="0" t="0" r="7620" b="0"/>
            <wp:docPr id="6885771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 cy="560705"/>
                    </a:xfrm>
                    <a:prstGeom prst="rect">
                      <a:avLst/>
                    </a:prstGeom>
                    <a:noFill/>
                  </pic:spPr>
                </pic:pic>
              </a:graphicData>
            </a:graphic>
          </wp:inline>
        </w:drawing>
      </w:r>
    </w:p>
    <w:p w14:paraId="47CA790B" w14:textId="77777777" w:rsidR="008C0189" w:rsidRPr="006B2D4B" w:rsidRDefault="008C0189" w:rsidP="006B2D4B">
      <w:pPr>
        <w:pStyle w:val="Pavadinimas"/>
        <w:ind w:firstLine="680"/>
        <w:contextualSpacing/>
      </w:pPr>
    </w:p>
    <w:p w14:paraId="32A32685" w14:textId="77777777" w:rsidR="00F415AF" w:rsidRPr="006B2D4B" w:rsidRDefault="00F415AF" w:rsidP="006B2D4B">
      <w:pPr>
        <w:pStyle w:val="Paantrat"/>
        <w:ind w:firstLine="680"/>
        <w:contextualSpacing/>
        <w:rPr>
          <w:szCs w:val="24"/>
        </w:rPr>
      </w:pPr>
      <w:r w:rsidRPr="006B2D4B">
        <w:rPr>
          <w:szCs w:val="24"/>
        </w:rPr>
        <w:t>KĖDAINIŲ RAJONO SAVIVALDYBĖS TARYBA</w:t>
      </w:r>
    </w:p>
    <w:p w14:paraId="38098FB6" w14:textId="77777777" w:rsidR="00F415AF" w:rsidRPr="006B2D4B" w:rsidRDefault="00F415AF" w:rsidP="006B2D4B">
      <w:pPr>
        <w:ind w:firstLine="680"/>
        <w:contextualSpacing/>
        <w:jc w:val="center"/>
        <w:rPr>
          <w:b/>
          <w:sz w:val="24"/>
          <w:szCs w:val="24"/>
        </w:rPr>
      </w:pPr>
    </w:p>
    <w:p w14:paraId="4A181CAE" w14:textId="77777777" w:rsidR="00970F02" w:rsidRPr="006B2D4B" w:rsidRDefault="00970F02" w:rsidP="006B2D4B">
      <w:pPr>
        <w:contextualSpacing/>
        <w:jc w:val="center"/>
        <w:rPr>
          <w:b/>
          <w:bCs/>
          <w:sz w:val="24"/>
          <w:szCs w:val="24"/>
          <w:lang w:eastAsia="en-US"/>
        </w:rPr>
      </w:pPr>
      <w:bookmarkStart w:id="0" w:name="_Hlk196205667"/>
      <w:r w:rsidRPr="006B2D4B">
        <w:rPr>
          <w:b/>
          <w:sz w:val="24"/>
          <w:szCs w:val="24"/>
          <w:lang w:eastAsia="en-US"/>
        </w:rPr>
        <w:t xml:space="preserve">DĖL </w:t>
      </w:r>
      <w:r w:rsidRPr="006B2D4B">
        <w:rPr>
          <w:b/>
          <w:bCs/>
          <w:sz w:val="24"/>
          <w:szCs w:val="24"/>
          <w:lang w:eastAsia="en-US"/>
        </w:rPr>
        <w:t>APMOKĖJIMO UŽ PAGRINDINĖS IR PAKARTOTINĖS SESIJŲ VALSTYBINIŲ BRANDOS EGZAMINŲ VYKDYMĄ TVARKOS APRAŠO PATVIRTINIMO</w:t>
      </w:r>
    </w:p>
    <w:p w14:paraId="1A110D5D" w14:textId="77777777" w:rsidR="00970F02" w:rsidRPr="006B2D4B" w:rsidRDefault="00970F02" w:rsidP="006B2D4B">
      <w:pPr>
        <w:contextualSpacing/>
        <w:rPr>
          <w:sz w:val="24"/>
          <w:szCs w:val="24"/>
          <w:lang w:eastAsia="en-US"/>
        </w:rPr>
      </w:pPr>
    </w:p>
    <w:bookmarkEnd w:id="0"/>
    <w:p w14:paraId="1B3A6D92" w14:textId="40BD215F" w:rsidR="00970F02" w:rsidRPr="006B2D4B" w:rsidRDefault="00970F02" w:rsidP="006B2D4B">
      <w:pPr>
        <w:contextualSpacing/>
        <w:jc w:val="center"/>
        <w:rPr>
          <w:sz w:val="24"/>
          <w:szCs w:val="24"/>
          <w:lang w:eastAsia="en-US"/>
        </w:rPr>
      </w:pPr>
      <w:r w:rsidRPr="006B2D4B">
        <w:rPr>
          <w:sz w:val="24"/>
          <w:szCs w:val="24"/>
          <w:lang w:eastAsia="en-US"/>
        </w:rPr>
        <w:t xml:space="preserve">2025 m. gegužės </w:t>
      </w:r>
      <w:r w:rsidR="006B2D4B" w:rsidRPr="006B2D4B">
        <w:rPr>
          <w:sz w:val="24"/>
          <w:szCs w:val="24"/>
          <w:lang w:eastAsia="en-US"/>
        </w:rPr>
        <w:t>19</w:t>
      </w:r>
      <w:r w:rsidRPr="006B2D4B">
        <w:rPr>
          <w:sz w:val="24"/>
          <w:szCs w:val="24"/>
          <w:lang w:eastAsia="en-US"/>
        </w:rPr>
        <w:t xml:space="preserve"> d. Nr. SP-</w:t>
      </w:r>
      <w:r w:rsidR="006B2D4B" w:rsidRPr="006B2D4B">
        <w:rPr>
          <w:sz w:val="24"/>
          <w:szCs w:val="24"/>
          <w:lang w:eastAsia="en-US"/>
        </w:rPr>
        <w:t>166</w:t>
      </w:r>
    </w:p>
    <w:p w14:paraId="2B8A4A24" w14:textId="77777777" w:rsidR="00970F02" w:rsidRPr="006B2D4B" w:rsidRDefault="00970F02" w:rsidP="006B2D4B">
      <w:pPr>
        <w:contextualSpacing/>
        <w:jc w:val="center"/>
        <w:rPr>
          <w:sz w:val="24"/>
          <w:szCs w:val="24"/>
          <w:lang w:eastAsia="en-US"/>
        </w:rPr>
      </w:pPr>
      <w:r w:rsidRPr="006B2D4B">
        <w:rPr>
          <w:sz w:val="24"/>
          <w:szCs w:val="24"/>
          <w:lang w:eastAsia="en-US"/>
        </w:rPr>
        <w:t>Kėdainiai</w:t>
      </w:r>
    </w:p>
    <w:p w14:paraId="734B0138" w14:textId="77777777" w:rsidR="00970F02" w:rsidRPr="006B2D4B" w:rsidRDefault="00970F02" w:rsidP="006B2D4B">
      <w:pPr>
        <w:contextualSpacing/>
        <w:rPr>
          <w:sz w:val="24"/>
          <w:szCs w:val="24"/>
          <w:lang w:eastAsia="en-US"/>
        </w:rPr>
      </w:pPr>
    </w:p>
    <w:p w14:paraId="1F7ABFC0" w14:textId="77777777" w:rsidR="00970F02" w:rsidRPr="006B2D4B" w:rsidRDefault="00970F02" w:rsidP="006B2D4B">
      <w:pPr>
        <w:contextualSpacing/>
        <w:jc w:val="both"/>
        <w:rPr>
          <w:bCs/>
          <w:sz w:val="24"/>
          <w:szCs w:val="24"/>
          <w:lang w:eastAsia="en-US"/>
        </w:rPr>
      </w:pPr>
    </w:p>
    <w:p w14:paraId="431AECB6" w14:textId="52D78B19" w:rsidR="00970F02" w:rsidRPr="006B2D4B" w:rsidRDefault="00970F02" w:rsidP="006B2D4B">
      <w:pPr>
        <w:ind w:firstLine="709"/>
        <w:contextualSpacing/>
        <w:jc w:val="both"/>
        <w:textAlignment w:val="baseline"/>
        <w:rPr>
          <w:bCs/>
          <w:sz w:val="24"/>
          <w:szCs w:val="24"/>
          <w:lang w:eastAsia="lt-LT"/>
        </w:rPr>
      </w:pPr>
      <w:r w:rsidRPr="006B2D4B">
        <w:rPr>
          <w:sz w:val="24"/>
          <w:szCs w:val="24"/>
          <w:lang w:eastAsia="en-US"/>
        </w:rPr>
        <w:t xml:space="preserve">Vadovaudamasi </w:t>
      </w:r>
      <w:r w:rsidRPr="006B2D4B">
        <w:rPr>
          <w:sz w:val="24"/>
          <w:szCs w:val="24"/>
          <w:lang w:eastAsia="lt-LT"/>
        </w:rPr>
        <w:t>Lietuvos Respublikos vietos savivaldos įstatymo 1</w:t>
      </w:r>
      <w:r w:rsidR="00D50B9B" w:rsidRPr="006B2D4B">
        <w:rPr>
          <w:sz w:val="24"/>
          <w:szCs w:val="24"/>
          <w:lang w:eastAsia="lt-LT"/>
        </w:rPr>
        <w:t>5</w:t>
      </w:r>
      <w:r w:rsidRPr="006B2D4B">
        <w:rPr>
          <w:sz w:val="24"/>
          <w:szCs w:val="24"/>
          <w:lang w:eastAsia="lt-LT"/>
        </w:rPr>
        <w:t xml:space="preserve"> straipsnio </w:t>
      </w:r>
      <w:r w:rsidR="00D50B9B" w:rsidRPr="006B2D4B">
        <w:rPr>
          <w:sz w:val="24"/>
          <w:szCs w:val="24"/>
          <w:lang w:eastAsia="lt-LT"/>
        </w:rPr>
        <w:t xml:space="preserve">4 </w:t>
      </w:r>
      <w:r w:rsidRPr="006B2D4B">
        <w:rPr>
          <w:sz w:val="24"/>
          <w:szCs w:val="24"/>
          <w:lang w:eastAsia="lt-LT"/>
        </w:rPr>
        <w:t xml:space="preserve">dalimi, </w:t>
      </w:r>
      <w:r w:rsidRPr="006B2D4B">
        <w:rPr>
          <w:sz w:val="24"/>
          <w:szCs w:val="24"/>
          <w:lang w:eastAsia="en-US"/>
        </w:rPr>
        <w:t>Lietuvos Respublikos švietimo, mokslo ir sporto ministro 2014 m. spalio 2 d. įsakymu Nr. V-872 „</w:t>
      </w:r>
      <w:r w:rsidRPr="006B2D4B">
        <w:rPr>
          <w:bCs/>
          <w:sz w:val="24"/>
          <w:szCs w:val="24"/>
          <w:lang w:eastAsia="en-US"/>
        </w:rPr>
        <w:t xml:space="preserve">Dėl </w:t>
      </w:r>
      <w:r w:rsidR="00D50B9B" w:rsidRPr="006B2D4B">
        <w:rPr>
          <w:bCs/>
          <w:sz w:val="24"/>
          <w:szCs w:val="24"/>
          <w:lang w:eastAsia="en-US"/>
        </w:rPr>
        <w:t>Re</w:t>
      </w:r>
      <w:r w:rsidRPr="006B2D4B">
        <w:rPr>
          <w:bCs/>
          <w:sz w:val="24"/>
          <w:szCs w:val="24"/>
          <w:lang w:eastAsia="en-US"/>
        </w:rPr>
        <w:t>komendacinių</w:t>
      </w:r>
      <w:r w:rsidR="00D50B9B" w:rsidRPr="006B2D4B">
        <w:rPr>
          <w:bCs/>
          <w:sz w:val="24"/>
          <w:szCs w:val="24"/>
          <w:lang w:eastAsia="en-US"/>
        </w:rPr>
        <w:t xml:space="preserve"> </w:t>
      </w:r>
      <w:r w:rsidRPr="006B2D4B">
        <w:rPr>
          <w:bCs/>
          <w:sz w:val="24"/>
          <w:szCs w:val="24"/>
          <w:lang w:eastAsia="en-US"/>
        </w:rPr>
        <w:t>įkainių už pagrindinės ir pakartotinės sesijų valstybinių brandos egzaminų vykdymą patvirtinimo“</w:t>
      </w:r>
      <w:r w:rsidRPr="006B2D4B">
        <w:rPr>
          <w:sz w:val="24"/>
          <w:szCs w:val="24"/>
          <w:lang w:eastAsia="en-US"/>
        </w:rPr>
        <w:t xml:space="preserve"> </w:t>
      </w:r>
      <w:r w:rsidRPr="006B2D4B">
        <w:rPr>
          <w:sz w:val="24"/>
          <w:szCs w:val="24"/>
          <w:lang w:eastAsia="lt-LT"/>
        </w:rPr>
        <w:t xml:space="preserve"> 2.1 papunkčiu, Mokymo lėšų apskaičiavimo, paskirstymo ir panaudojimo tvarkos aprašo, patvirtinto Lietuvos Respublikos Vyriausybės </w:t>
      </w:r>
      <w:r w:rsidRPr="006B2D4B">
        <w:rPr>
          <w:color w:val="000000"/>
          <w:sz w:val="24"/>
          <w:szCs w:val="24"/>
          <w:lang w:eastAsia="lt-LT"/>
        </w:rPr>
        <w:t xml:space="preserve">2018 m. liepos 11 d. nutarimu Nr. 679 „Dėl </w:t>
      </w:r>
      <w:r w:rsidRPr="006B2D4B">
        <w:rPr>
          <w:sz w:val="24"/>
          <w:szCs w:val="24"/>
          <w:lang w:eastAsia="lt-LT"/>
        </w:rPr>
        <w:t>Mokymo lėšų apskaičiavimo, paskirstymo ir panaudojimo tvarkos aprašo patvirtinimo“</w:t>
      </w:r>
      <w:r w:rsidR="006A629E" w:rsidRPr="006B2D4B">
        <w:rPr>
          <w:sz w:val="24"/>
          <w:szCs w:val="24"/>
          <w:lang w:eastAsia="lt-LT"/>
        </w:rPr>
        <w:t>,</w:t>
      </w:r>
      <w:r w:rsidRPr="006B2D4B">
        <w:rPr>
          <w:sz w:val="24"/>
          <w:szCs w:val="24"/>
          <w:lang w:eastAsia="lt-LT"/>
        </w:rPr>
        <w:t xml:space="preserve"> 12.4 papunk</w:t>
      </w:r>
      <w:r w:rsidR="00D50B9B" w:rsidRPr="006B2D4B">
        <w:rPr>
          <w:sz w:val="24"/>
          <w:szCs w:val="24"/>
          <w:lang w:eastAsia="lt-LT"/>
        </w:rPr>
        <w:t>čiu,</w:t>
      </w:r>
      <w:r w:rsidRPr="006B2D4B">
        <w:rPr>
          <w:sz w:val="24"/>
          <w:szCs w:val="24"/>
          <w:lang w:eastAsia="lt-LT"/>
        </w:rPr>
        <w:t xml:space="preserve"> </w:t>
      </w:r>
      <w:r w:rsidRPr="006B2D4B">
        <w:rPr>
          <w:bCs/>
          <w:sz w:val="24"/>
          <w:szCs w:val="24"/>
          <w:lang w:eastAsia="lt-LT"/>
        </w:rPr>
        <w:t xml:space="preserve">Kėdainių rajono savivaldybės taryba </w:t>
      </w:r>
      <w:r w:rsidRPr="006B2D4B">
        <w:rPr>
          <w:bCs/>
          <w:spacing w:val="40"/>
          <w:sz w:val="24"/>
          <w:szCs w:val="24"/>
          <w:lang w:eastAsia="lt-LT"/>
        </w:rPr>
        <w:t>nusprendžia</w:t>
      </w:r>
      <w:r w:rsidRPr="006B2D4B">
        <w:rPr>
          <w:bCs/>
          <w:sz w:val="24"/>
          <w:szCs w:val="24"/>
          <w:lang w:eastAsia="lt-LT"/>
        </w:rPr>
        <w:t>:</w:t>
      </w:r>
    </w:p>
    <w:p w14:paraId="7AF7D24A" w14:textId="77777777" w:rsidR="00970F02" w:rsidRPr="006B2D4B" w:rsidRDefault="00970F02" w:rsidP="006B2D4B">
      <w:pPr>
        <w:tabs>
          <w:tab w:val="left" w:pos="993"/>
        </w:tabs>
        <w:ind w:firstLine="709"/>
        <w:contextualSpacing/>
        <w:jc w:val="both"/>
        <w:rPr>
          <w:rFonts w:eastAsia="Lucida Sans Unicode"/>
          <w:bCs/>
          <w:kern w:val="3"/>
          <w:sz w:val="24"/>
          <w:szCs w:val="24"/>
          <w:lang w:eastAsia="zh-CN" w:bidi="hi-IN"/>
        </w:rPr>
      </w:pPr>
      <w:r w:rsidRPr="006B2D4B">
        <w:rPr>
          <w:rFonts w:eastAsia="Lucida Sans Unicode"/>
          <w:bCs/>
          <w:kern w:val="3"/>
          <w:sz w:val="24"/>
          <w:szCs w:val="24"/>
          <w:lang w:eastAsia="zh-CN" w:bidi="hi-IN"/>
        </w:rPr>
        <w:t>1. Patvirtinti Apmokėjimo už pagrindinės ir pakartotinės sesijų valstybinių brandos egzaminų vykdymą tvarkos aprašą (pridedama).</w:t>
      </w:r>
    </w:p>
    <w:p w14:paraId="104B485D" w14:textId="7FCFB8A8" w:rsidR="00970F02" w:rsidRPr="006B2D4B" w:rsidRDefault="00970F02" w:rsidP="006B2D4B">
      <w:pPr>
        <w:tabs>
          <w:tab w:val="left" w:pos="1418"/>
        </w:tabs>
        <w:ind w:firstLine="709"/>
        <w:contextualSpacing/>
        <w:jc w:val="both"/>
        <w:rPr>
          <w:rFonts w:eastAsia="Calibri"/>
          <w:sz w:val="24"/>
          <w:szCs w:val="24"/>
          <w:lang w:eastAsia="lt-LT"/>
        </w:rPr>
      </w:pPr>
      <w:r w:rsidRPr="006B2D4B">
        <w:rPr>
          <w:rFonts w:eastAsia="Lucida Sans Unicode"/>
          <w:bCs/>
          <w:kern w:val="3"/>
          <w:sz w:val="24"/>
          <w:szCs w:val="24"/>
          <w:lang w:eastAsia="zh-CN" w:bidi="hi-IN"/>
        </w:rPr>
        <w:t xml:space="preserve">2. Pripažinti netekusiu galios </w:t>
      </w:r>
      <w:bookmarkStart w:id="1" w:name="_Hlk197601301"/>
      <w:bookmarkStart w:id="2" w:name="_Hlk197601332"/>
      <w:r w:rsidRPr="006B2D4B">
        <w:rPr>
          <w:bCs/>
          <w:sz w:val="24"/>
          <w:szCs w:val="24"/>
          <w:lang w:eastAsia="lt-LT"/>
        </w:rPr>
        <w:t>Kėdainių rajono savivaldybės administracijos direktoriaus  2023</w:t>
      </w:r>
      <w:r w:rsidR="006B2D4B">
        <w:rPr>
          <w:bCs/>
          <w:sz w:val="24"/>
          <w:szCs w:val="24"/>
          <w:lang w:eastAsia="lt-LT"/>
        </w:rPr>
        <w:t> </w:t>
      </w:r>
      <w:r w:rsidRPr="006B2D4B">
        <w:rPr>
          <w:bCs/>
          <w:sz w:val="24"/>
          <w:szCs w:val="24"/>
          <w:lang w:eastAsia="lt-LT"/>
        </w:rPr>
        <w:t>m.</w:t>
      </w:r>
      <w:r w:rsidR="006B2D4B">
        <w:rPr>
          <w:bCs/>
          <w:sz w:val="24"/>
          <w:szCs w:val="24"/>
          <w:lang w:eastAsia="lt-LT"/>
        </w:rPr>
        <w:t> </w:t>
      </w:r>
      <w:r w:rsidRPr="006B2D4B">
        <w:rPr>
          <w:bCs/>
          <w:sz w:val="24"/>
          <w:szCs w:val="24"/>
          <w:lang w:eastAsia="lt-LT"/>
        </w:rPr>
        <w:t>vasario</w:t>
      </w:r>
      <w:r w:rsidR="006B2D4B">
        <w:rPr>
          <w:bCs/>
          <w:sz w:val="24"/>
          <w:szCs w:val="24"/>
          <w:lang w:eastAsia="lt-LT"/>
        </w:rPr>
        <w:t> </w:t>
      </w:r>
      <w:r w:rsidRPr="006B2D4B">
        <w:rPr>
          <w:bCs/>
          <w:sz w:val="24"/>
          <w:szCs w:val="24"/>
          <w:lang w:eastAsia="lt-LT"/>
        </w:rPr>
        <w:t>24</w:t>
      </w:r>
      <w:r w:rsidR="006B2D4B">
        <w:rPr>
          <w:bCs/>
          <w:sz w:val="24"/>
          <w:szCs w:val="24"/>
          <w:lang w:eastAsia="lt-LT"/>
        </w:rPr>
        <w:t> </w:t>
      </w:r>
      <w:r w:rsidRPr="006B2D4B">
        <w:rPr>
          <w:bCs/>
          <w:sz w:val="24"/>
          <w:szCs w:val="24"/>
          <w:lang w:eastAsia="lt-LT"/>
        </w:rPr>
        <w:t>d. įsakymą Nr. AD-1-225 „</w:t>
      </w:r>
      <w:r w:rsidRPr="006B2D4B">
        <w:rPr>
          <w:rFonts w:eastAsia="Calibri"/>
          <w:sz w:val="24"/>
          <w:szCs w:val="24"/>
          <w:lang w:eastAsia="lt-LT"/>
        </w:rPr>
        <w:t>Dėl Apmokėjimo už brandos egzaminų vykdymą, kandidatų darbų vertinimą ir apeliacijų nagrinėjimą</w:t>
      </w:r>
      <w:r w:rsidR="00D50B9B" w:rsidRPr="006B2D4B">
        <w:rPr>
          <w:rFonts w:eastAsia="Calibri"/>
          <w:sz w:val="24"/>
          <w:szCs w:val="24"/>
          <w:lang w:eastAsia="lt-LT"/>
        </w:rPr>
        <w:t xml:space="preserve"> </w:t>
      </w:r>
      <w:r w:rsidRPr="006B2D4B">
        <w:rPr>
          <w:rFonts w:eastAsia="Calibri"/>
          <w:sz w:val="24"/>
          <w:szCs w:val="24"/>
          <w:lang w:eastAsia="lt-LT"/>
        </w:rPr>
        <w:t>tvarkos aprašo patvirtinimo</w:t>
      </w:r>
      <w:bookmarkEnd w:id="1"/>
      <w:r w:rsidRPr="006B2D4B">
        <w:rPr>
          <w:rFonts w:eastAsia="Calibri"/>
          <w:sz w:val="24"/>
          <w:szCs w:val="24"/>
          <w:lang w:eastAsia="lt-LT"/>
        </w:rPr>
        <w:t>“.</w:t>
      </w:r>
    </w:p>
    <w:p w14:paraId="6BF62D83" w14:textId="58C962F1" w:rsidR="000F306D" w:rsidRPr="006B2D4B" w:rsidRDefault="000F306D" w:rsidP="006B2D4B">
      <w:pPr>
        <w:tabs>
          <w:tab w:val="left" w:pos="1418"/>
        </w:tabs>
        <w:ind w:firstLine="1134"/>
        <w:contextualSpacing/>
        <w:jc w:val="both"/>
        <w:rPr>
          <w:bCs/>
          <w:color w:val="FF0000"/>
          <w:sz w:val="24"/>
          <w:szCs w:val="24"/>
          <w:lang w:eastAsia="lt-LT"/>
        </w:rPr>
      </w:pPr>
    </w:p>
    <w:bookmarkEnd w:id="2"/>
    <w:p w14:paraId="46885802" w14:textId="77777777" w:rsidR="00970F02" w:rsidRPr="006B2D4B" w:rsidRDefault="00970F02" w:rsidP="006B2D4B">
      <w:pPr>
        <w:contextualSpacing/>
        <w:jc w:val="both"/>
        <w:rPr>
          <w:bCs/>
          <w:sz w:val="24"/>
          <w:szCs w:val="24"/>
          <w:lang w:eastAsia="en-US"/>
        </w:rPr>
      </w:pPr>
    </w:p>
    <w:p w14:paraId="77A51C2A" w14:textId="77777777" w:rsidR="00970F02" w:rsidRPr="006B2D4B" w:rsidRDefault="00970F02" w:rsidP="006B2D4B">
      <w:pPr>
        <w:tabs>
          <w:tab w:val="left" w:pos="7513"/>
        </w:tabs>
        <w:contextualSpacing/>
        <w:jc w:val="both"/>
        <w:rPr>
          <w:sz w:val="24"/>
          <w:szCs w:val="24"/>
          <w:lang w:eastAsia="en-US"/>
        </w:rPr>
      </w:pPr>
      <w:r w:rsidRPr="006B2D4B">
        <w:rPr>
          <w:sz w:val="24"/>
          <w:szCs w:val="24"/>
          <w:lang w:eastAsia="en-US"/>
        </w:rPr>
        <w:t>Savivaldybės meras</w:t>
      </w:r>
      <w:r w:rsidRPr="006B2D4B">
        <w:rPr>
          <w:sz w:val="24"/>
          <w:szCs w:val="24"/>
          <w:lang w:eastAsia="en-US"/>
        </w:rPr>
        <w:tab/>
      </w:r>
    </w:p>
    <w:p w14:paraId="59623E34" w14:textId="2B2905F4" w:rsidR="00D65BB7" w:rsidRPr="006B2D4B" w:rsidRDefault="00D65BB7" w:rsidP="006B2D4B">
      <w:pPr>
        <w:ind w:firstLine="680"/>
        <w:contextualSpacing/>
        <w:rPr>
          <w:sz w:val="24"/>
          <w:szCs w:val="24"/>
        </w:rPr>
      </w:pPr>
    </w:p>
    <w:p w14:paraId="5FD61F61" w14:textId="347EBFDB" w:rsidR="008C0189" w:rsidRPr="006B2D4B" w:rsidRDefault="008C0189" w:rsidP="006B2D4B">
      <w:pPr>
        <w:ind w:firstLine="680"/>
        <w:contextualSpacing/>
        <w:rPr>
          <w:sz w:val="24"/>
          <w:szCs w:val="24"/>
        </w:rPr>
      </w:pPr>
    </w:p>
    <w:p w14:paraId="7D92F272" w14:textId="77777777" w:rsidR="008C0189" w:rsidRPr="006B2D4B" w:rsidRDefault="008C0189" w:rsidP="006B2D4B">
      <w:pPr>
        <w:ind w:firstLine="680"/>
        <w:contextualSpacing/>
        <w:rPr>
          <w:sz w:val="24"/>
          <w:szCs w:val="24"/>
        </w:rPr>
      </w:pPr>
    </w:p>
    <w:p w14:paraId="0434FDF2" w14:textId="77777777" w:rsidR="005C7073" w:rsidRPr="006B2D4B" w:rsidRDefault="005C7073" w:rsidP="006B2D4B">
      <w:pPr>
        <w:contextualSpacing/>
        <w:rPr>
          <w:sz w:val="24"/>
          <w:szCs w:val="24"/>
        </w:rPr>
      </w:pPr>
    </w:p>
    <w:p w14:paraId="62BABBCD" w14:textId="77777777" w:rsidR="00F12490" w:rsidRPr="006B2D4B" w:rsidRDefault="00F12490" w:rsidP="006B2D4B">
      <w:pPr>
        <w:contextualSpacing/>
        <w:rPr>
          <w:sz w:val="24"/>
          <w:szCs w:val="24"/>
        </w:rPr>
      </w:pPr>
    </w:p>
    <w:p w14:paraId="5B581CCA" w14:textId="77777777" w:rsidR="00F12490" w:rsidRPr="006B2D4B" w:rsidRDefault="00F12490" w:rsidP="006B2D4B">
      <w:pPr>
        <w:contextualSpacing/>
        <w:rPr>
          <w:sz w:val="24"/>
          <w:szCs w:val="24"/>
        </w:rPr>
      </w:pPr>
    </w:p>
    <w:p w14:paraId="092AFBC5" w14:textId="77777777" w:rsidR="00F12490" w:rsidRPr="006B2D4B" w:rsidRDefault="00F12490" w:rsidP="006B2D4B">
      <w:pPr>
        <w:contextualSpacing/>
        <w:rPr>
          <w:sz w:val="24"/>
          <w:szCs w:val="24"/>
        </w:rPr>
      </w:pPr>
    </w:p>
    <w:p w14:paraId="72B24B1A" w14:textId="77777777" w:rsidR="00F12490" w:rsidRPr="006B2D4B" w:rsidRDefault="00F12490" w:rsidP="006B2D4B">
      <w:pPr>
        <w:contextualSpacing/>
        <w:rPr>
          <w:sz w:val="24"/>
          <w:szCs w:val="24"/>
        </w:rPr>
      </w:pPr>
    </w:p>
    <w:p w14:paraId="161BAC0F" w14:textId="77777777" w:rsidR="00F12490" w:rsidRPr="006B2D4B" w:rsidRDefault="00F12490" w:rsidP="006B2D4B">
      <w:pPr>
        <w:contextualSpacing/>
        <w:rPr>
          <w:sz w:val="24"/>
          <w:szCs w:val="24"/>
        </w:rPr>
      </w:pPr>
    </w:p>
    <w:p w14:paraId="4370C479" w14:textId="77777777" w:rsidR="00923DF7" w:rsidRPr="006B2D4B" w:rsidRDefault="00923DF7" w:rsidP="006B2D4B">
      <w:pPr>
        <w:contextualSpacing/>
        <w:jc w:val="both"/>
        <w:rPr>
          <w:sz w:val="24"/>
          <w:szCs w:val="24"/>
          <w:lang w:val="en-US"/>
        </w:rPr>
      </w:pPr>
    </w:p>
    <w:p w14:paraId="7E4B7E05" w14:textId="77777777" w:rsidR="00923DF7" w:rsidRPr="006B2D4B" w:rsidRDefault="00923DF7" w:rsidP="006B2D4B">
      <w:pPr>
        <w:contextualSpacing/>
        <w:jc w:val="both"/>
        <w:rPr>
          <w:sz w:val="24"/>
          <w:szCs w:val="24"/>
        </w:rPr>
      </w:pPr>
    </w:p>
    <w:p w14:paraId="60DDFF4E" w14:textId="77777777" w:rsidR="00923DF7" w:rsidRPr="006B2D4B" w:rsidRDefault="00923DF7" w:rsidP="006B2D4B">
      <w:pPr>
        <w:contextualSpacing/>
        <w:jc w:val="both"/>
        <w:rPr>
          <w:sz w:val="24"/>
          <w:szCs w:val="24"/>
        </w:rPr>
      </w:pPr>
    </w:p>
    <w:p w14:paraId="4BC7CBFE" w14:textId="77777777" w:rsidR="00923DF7" w:rsidRPr="006B2D4B" w:rsidRDefault="00923DF7" w:rsidP="006B2D4B">
      <w:pPr>
        <w:contextualSpacing/>
        <w:jc w:val="both"/>
        <w:rPr>
          <w:sz w:val="24"/>
          <w:szCs w:val="24"/>
        </w:rPr>
      </w:pPr>
    </w:p>
    <w:p w14:paraId="03AD10D2" w14:textId="77777777" w:rsidR="00923DF7" w:rsidRPr="006B2D4B" w:rsidRDefault="00923DF7" w:rsidP="006B2D4B">
      <w:pPr>
        <w:contextualSpacing/>
        <w:jc w:val="both"/>
        <w:rPr>
          <w:sz w:val="24"/>
          <w:szCs w:val="24"/>
        </w:rPr>
      </w:pPr>
    </w:p>
    <w:p w14:paraId="1ED0D0D2" w14:textId="77777777" w:rsidR="00923DF7" w:rsidRPr="006B2D4B" w:rsidRDefault="00923DF7" w:rsidP="006B2D4B">
      <w:pPr>
        <w:contextualSpacing/>
        <w:jc w:val="both"/>
        <w:rPr>
          <w:sz w:val="24"/>
          <w:szCs w:val="24"/>
        </w:rPr>
      </w:pPr>
    </w:p>
    <w:p w14:paraId="055D3F32" w14:textId="77777777" w:rsidR="00923DF7" w:rsidRPr="006B2D4B" w:rsidRDefault="00923DF7" w:rsidP="006B2D4B">
      <w:pPr>
        <w:contextualSpacing/>
        <w:jc w:val="both"/>
        <w:rPr>
          <w:sz w:val="24"/>
          <w:szCs w:val="24"/>
        </w:rPr>
      </w:pPr>
    </w:p>
    <w:p w14:paraId="35456B9A" w14:textId="77777777" w:rsidR="00173FD2" w:rsidRPr="006B2D4B" w:rsidRDefault="00173FD2" w:rsidP="006B2D4B">
      <w:pPr>
        <w:contextualSpacing/>
        <w:jc w:val="both"/>
        <w:rPr>
          <w:sz w:val="24"/>
          <w:szCs w:val="24"/>
        </w:rPr>
      </w:pPr>
    </w:p>
    <w:p w14:paraId="59AEF76A" w14:textId="77777777" w:rsidR="00D50B9B" w:rsidRPr="006B2D4B" w:rsidRDefault="00D50B9B" w:rsidP="006B2D4B">
      <w:pPr>
        <w:contextualSpacing/>
        <w:jc w:val="both"/>
        <w:rPr>
          <w:sz w:val="24"/>
          <w:szCs w:val="24"/>
        </w:rPr>
      </w:pPr>
    </w:p>
    <w:p w14:paraId="1C4F336A" w14:textId="77777777" w:rsidR="00D50B9B" w:rsidRPr="006B2D4B" w:rsidRDefault="00D50B9B" w:rsidP="006B2D4B">
      <w:pPr>
        <w:contextualSpacing/>
        <w:jc w:val="both"/>
        <w:rPr>
          <w:sz w:val="24"/>
          <w:szCs w:val="24"/>
        </w:rPr>
      </w:pPr>
    </w:p>
    <w:p w14:paraId="752962F4" w14:textId="77777777" w:rsidR="00D50B9B" w:rsidRPr="006B2D4B" w:rsidRDefault="00D50B9B" w:rsidP="006B2D4B">
      <w:pPr>
        <w:contextualSpacing/>
        <w:jc w:val="both"/>
        <w:rPr>
          <w:sz w:val="24"/>
          <w:szCs w:val="24"/>
        </w:rPr>
      </w:pPr>
    </w:p>
    <w:p w14:paraId="7F8BFC0A" w14:textId="77777777" w:rsidR="00D50B9B" w:rsidRPr="006B2D4B" w:rsidRDefault="00D50B9B" w:rsidP="006B2D4B">
      <w:pPr>
        <w:contextualSpacing/>
        <w:jc w:val="both"/>
        <w:rPr>
          <w:sz w:val="24"/>
          <w:szCs w:val="24"/>
        </w:rPr>
      </w:pPr>
    </w:p>
    <w:p w14:paraId="1A2B6C74" w14:textId="77777777" w:rsidR="00D50B9B" w:rsidRPr="006B2D4B" w:rsidRDefault="00D50B9B" w:rsidP="006B2D4B">
      <w:pPr>
        <w:contextualSpacing/>
        <w:jc w:val="both"/>
        <w:rPr>
          <w:sz w:val="24"/>
          <w:szCs w:val="24"/>
        </w:rPr>
      </w:pPr>
    </w:p>
    <w:p w14:paraId="12E5C82E" w14:textId="77777777" w:rsidR="00923DF7" w:rsidRPr="006B2D4B" w:rsidRDefault="00923DF7" w:rsidP="006B2D4B">
      <w:pPr>
        <w:contextualSpacing/>
        <w:jc w:val="both"/>
        <w:rPr>
          <w:sz w:val="24"/>
          <w:szCs w:val="24"/>
        </w:rPr>
      </w:pPr>
    </w:p>
    <w:p w14:paraId="244326DD" w14:textId="77777777" w:rsidR="00970F02" w:rsidRPr="006B2D4B" w:rsidRDefault="00970F02" w:rsidP="006B2D4B">
      <w:pPr>
        <w:ind w:left="4374" w:firstLine="1296"/>
        <w:contextualSpacing/>
        <w:rPr>
          <w:bCs/>
          <w:color w:val="000000"/>
          <w:sz w:val="24"/>
          <w:szCs w:val="24"/>
          <w:lang w:eastAsia="en-US"/>
        </w:rPr>
      </w:pPr>
      <w:r w:rsidRPr="006B2D4B">
        <w:rPr>
          <w:bCs/>
          <w:color w:val="000000"/>
          <w:sz w:val="24"/>
          <w:szCs w:val="24"/>
          <w:lang w:eastAsia="en-US"/>
        </w:rPr>
        <w:lastRenderedPageBreak/>
        <w:t>PATVIRTINTA</w:t>
      </w:r>
    </w:p>
    <w:p w14:paraId="3F36A3E2" w14:textId="77777777" w:rsidR="00970F02" w:rsidRPr="006B2D4B" w:rsidRDefault="00970F02" w:rsidP="006B2D4B">
      <w:pPr>
        <w:ind w:left="5670"/>
        <w:contextualSpacing/>
        <w:rPr>
          <w:bCs/>
          <w:color w:val="000000"/>
          <w:sz w:val="24"/>
          <w:szCs w:val="24"/>
          <w:lang w:eastAsia="en-US"/>
        </w:rPr>
      </w:pPr>
      <w:r w:rsidRPr="006B2D4B">
        <w:rPr>
          <w:bCs/>
          <w:color w:val="000000"/>
          <w:sz w:val="24"/>
          <w:szCs w:val="24"/>
          <w:lang w:eastAsia="en-US"/>
        </w:rPr>
        <w:t>Kėdainių rajono savivaldybės tarybos</w:t>
      </w:r>
    </w:p>
    <w:p w14:paraId="2E39E666" w14:textId="77777777" w:rsidR="00970F02" w:rsidRPr="006B2D4B" w:rsidRDefault="00970F02" w:rsidP="006B2D4B">
      <w:pPr>
        <w:tabs>
          <w:tab w:val="left" w:pos="4395"/>
        </w:tabs>
        <w:ind w:left="4374" w:firstLine="1296"/>
        <w:contextualSpacing/>
        <w:rPr>
          <w:sz w:val="24"/>
          <w:szCs w:val="24"/>
          <w:lang w:eastAsia="en-US"/>
        </w:rPr>
      </w:pPr>
      <w:r w:rsidRPr="006B2D4B">
        <w:rPr>
          <w:bCs/>
          <w:color w:val="000000"/>
          <w:sz w:val="24"/>
          <w:szCs w:val="24"/>
          <w:lang w:eastAsia="en-US"/>
        </w:rPr>
        <w:t>2025 m. gegužės    d. sprendim</w:t>
      </w:r>
      <w:r w:rsidRPr="006B2D4B">
        <w:rPr>
          <w:color w:val="000000"/>
          <w:sz w:val="24"/>
          <w:szCs w:val="24"/>
          <w:lang w:eastAsia="en-US"/>
        </w:rPr>
        <w:t>u</w:t>
      </w:r>
      <w:r w:rsidRPr="006B2D4B">
        <w:rPr>
          <w:bCs/>
          <w:color w:val="000000"/>
          <w:sz w:val="24"/>
          <w:szCs w:val="24"/>
          <w:lang w:eastAsia="en-US"/>
        </w:rPr>
        <w:t xml:space="preserve"> Nr.</w:t>
      </w:r>
      <w:r w:rsidRPr="006B2D4B">
        <w:rPr>
          <w:color w:val="000000"/>
          <w:sz w:val="24"/>
          <w:szCs w:val="24"/>
          <w:lang w:eastAsia="en-US"/>
        </w:rPr>
        <w:t xml:space="preserve"> </w:t>
      </w:r>
      <w:r w:rsidRPr="006B2D4B">
        <w:rPr>
          <w:sz w:val="24"/>
          <w:szCs w:val="24"/>
          <w:lang w:eastAsia="en-US"/>
        </w:rPr>
        <w:t>TS-</w:t>
      </w:r>
    </w:p>
    <w:p w14:paraId="7E48B3F6" w14:textId="77777777" w:rsidR="00970F02" w:rsidRPr="006B2D4B" w:rsidRDefault="00970F02" w:rsidP="006B2D4B">
      <w:pPr>
        <w:tabs>
          <w:tab w:val="left" w:pos="4395"/>
        </w:tabs>
        <w:ind w:left="4374" w:firstLine="1296"/>
        <w:contextualSpacing/>
        <w:rPr>
          <w:sz w:val="24"/>
          <w:szCs w:val="24"/>
          <w:lang w:eastAsia="en-US"/>
        </w:rPr>
      </w:pPr>
    </w:p>
    <w:p w14:paraId="462CED90" w14:textId="77777777" w:rsidR="00970F02" w:rsidRPr="006B2D4B" w:rsidRDefault="00970F02" w:rsidP="006B2D4B">
      <w:pPr>
        <w:tabs>
          <w:tab w:val="left" w:pos="4395"/>
        </w:tabs>
        <w:ind w:left="4374" w:firstLine="1296"/>
        <w:contextualSpacing/>
        <w:rPr>
          <w:color w:val="000000"/>
          <w:sz w:val="24"/>
          <w:szCs w:val="24"/>
          <w:lang w:eastAsia="en-US"/>
        </w:rPr>
      </w:pPr>
    </w:p>
    <w:p w14:paraId="44A27744" w14:textId="77777777" w:rsidR="00970F02" w:rsidRPr="006B2D4B" w:rsidRDefault="00970F02" w:rsidP="006B2D4B">
      <w:pPr>
        <w:contextualSpacing/>
        <w:jc w:val="center"/>
        <w:rPr>
          <w:b/>
          <w:bCs/>
          <w:sz w:val="24"/>
          <w:szCs w:val="24"/>
          <w:lang w:eastAsia="en-US"/>
        </w:rPr>
      </w:pPr>
      <w:r w:rsidRPr="006B2D4B">
        <w:rPr>
          <w:b/>
          <w:bCs/>
          <w:sz w:val="24"/>
          <w:szCs w:val="24"/>
          <w:lang w:eastAsia="en-US"/>
        </w:rPr>
        <w:t>APMOKĖJIMO UŽ PAGRINDINĖS IR PAKARTOTINĖS SESIJŲ VALSTYBINIŲ BRANDOS EGZAMINŲ VYKDYMĄ TVARKOS APRAŠAS</w:t>
      </w:r>
    </w:p>
    <w:p w14:paraId="27C65042" w14:textId="77777777" w:rsidR="00970F02" w:rsidRPr="006B2D4B" w:rsidRDefault="00970F02" w:rsidP="006B2D4B">
      <w:pPr>
        <w:contextualSpacing/>
        <w:jc w:val="center"/>
        <w:rPr>
          <w:b/>
          <w:bCs/>
          <w:sz w:val="24"/>
          <w:szCs w:val="24"/>
          <w:lang w:eastAsia="en-US"/>
        </w:rPr>
      </w:pPr>
    </w:p>
    <w:p w14:paraId="7E01C4AC" w14:textId="77777777" w:rsidR="00970F02" w:rsidRPr="006B2D4B" w:rsidRDefault="00970F02" w:rsidP="006B2D4B">
      <w:pPr>
        <w:contextualSpacing/>
        <w:jc w:val="center"/>
        <w:rPr>
          <w:b/>
          <w:bCs/>
          <w:sz w:val="24"/>
          <w:szCs w:val="24"/>
          <w:lang w:eastAsia="en-US"/>
        </w:rPr>
      </w:pPr>
      <w:r w:rsidRPr="006B2D4B">
        <w:rPr>
          <w:b/>
          <w:bCs/>
          <w:sz w:val="24"/>
          <w:szCs w:val="24"/>
          <w:lang w:eastAsia="en-US"/>
        </w:rPr>
        <w:t>I SKYRIUS</w:t>
      </w:r>
    </w:p>
    <w:p w14:paraId="24E2EC61" w14:textId="77777777" w:rsidR="00970F02" w:rsidRPr="006B2D4B" w:rsidRDefault="00970F02" w:rsidP="006B2D4B">
      <w:pPr>
        <w:contextualSpacing/>
        <w:jc w:val="center"/>
        <w:rPr>
          <w:b/>
          <w:bCs/>
          <w:sz w:val="24"/>
          <w:szCs w:val="24"/>
          <w:lang w:eastAsia="en-US"/>
        </w:rPr>
      </w:pPr>
      <w:r w:rsidRPr="006B2D4B">
        <w:rPr>
          <w:b/>
          <w:bCs/>
          <w:sz w:val="24"/>
          <w:szCs w:val="24"/>
          <w:lang w:eastAsia="en-US"/>
        </w:rPr>
        <w:t>BENDROSIOS NUOSTATOS</w:t>
      </w:r>
    </w:p>
    <w:p w14:paraId="3092FC50" w14:textId="77777777" w:rsidR="00970F02" w:rsidRPr="006B2D4B" w:rsidRDefault="00970F02" w:rsidP="006B2D4B">
      <w:pPr>
        <w:contextualSpacing/>
        <w:rPr>
          <w:sz w:val="24"/>
          <w:szCs w:val="24"/>
          <w:lang w:eastAsia="en-US"/>
        </w:rPr>
      </w:pPr>
    </w:p>
    <w:p w14:paraId="11E64FF3" w14:textId="4DE86B03" w:rsidR="00970F02" w:rsidRPr="006B2D4B" w:rsidRDefault="00970F02" w:rsidP="006B2D4B">
      <w:pPr>
        <w:ind w:firstLine="709"/>
        <w:contextualSpacing/>
        <w:jc w:val="both"/>
        <w:rPr>
          <w:sz w:val="24"/>
          <w:szCs w:val="24"/>
          <w:lang w:eastAsia="en-US"/>
        </w:rPr>
      </w:pPr>
      <w:r w:rsidRPr="006B2D4B">
        <w:rPr>
          <w:sz w:val="24"/>
          <w:szCs w:val="24"/>
          <w:lang w:eastAsia="en-US"/>
        </w:rPr>
        <w:t xml:space="preserve">1. Apmokėjimo už pagrindinės ir pakartotinės sesijų valstybinių brandos egzaminų vykdymą tvarkos aprašas (toliau – Aprašas) </w:t>
      </w:r>
      <w:r w:rsidRPr="006B2D4B">
        <w:rPr>
          <w:sz w:val="24"/>
          <w:szCs w:val="24"/>
          <w:lang w:eastAsia="lt-LT"/>
        </w:rPr>
        <w:t>reglamentuoja</w:t>
      </w:r>
      <w:r w:rsidR="00D50B9B" w:rsidRPr="006B2D4B">
        <w:rPr>
          <w:sz w:val="24"/>
          <w:szCs w:val="24"/>
          <w:lang w:eastAsia="lt-LT"/>
        </w:rPr>
        <w:t xml:space="preserve"> Kėdainių rajono savivaldybės (toliau – Savivaldybė)</w:t>
      </w:r>
      <w:r w:rsidRPr="006B2D4B">
        <w:rPr>
          <w:sz w:val="24"/>
          <w:szCs w:val="24"/>
          <w:lang w:eastAsia="lt-LT"/>
        </w:rPr>
        <w:t xml:space="preserve"> pagrindinės ir pakartotinės sesijų valstybinių brandos egzaminų centrų vykdymo grupių vyresniųjų vykdytojų, administratorių ir vykdytojų apmokėjimo įkainius ir tvarką.</w:t>
      </w:r>
    </w:p>
    <w:p w14:paraId="4B95CA4F" w14:textId="77777777" w:rsidR="00970F02" w:rsidRPr="006B2D4B" w:rsidRDefault="00970F02" w:rsidP="006B2D4B">
      <w:pPr>
        <w:ind w:firstLine="709"/>
        <w:contextualSpacing/>
        <w:jc w:val="both"/>
        <w:rPr>
          <w:sz w:val="24"/>
          <w:szCs w:val="24"/>
          <w:lang w:eastAsia="en-US"/>
        </w:rPr>
      </w:pPr>
      <w:r w:rsidRPr="006B2D4B">
        <w:rPr>
          <w:sz w:val="24"/>
          <w:szCs w:val="24"/>
          <w:lang w:eastAsia="en-US"/>
        </w:rPr>
        <w:t xml:space="preserve">2. Dokumente vartojamos sąvokos atitinka Valstybinių brandos egzaminų organizavimo ir vykdymo tvarkos apraše, patvirtintame Lietuvos Respublikos švietimo, mokslo ir sporto ministro </w:t>
      </w:r>
      <w:r w:rsidRPr="006B2D4B">
        <w:rPr>
          <w:sz w:val="24"/>
          <w:szCs w:val="24"/>
          <w:lang w:val="en-GB" w:eastAsia="en-US"/>
        </w:rPr>
        <w:t>2023 m. rugsėjo 11 d. įsakymu Nr. V-1187 „Dėl Valstybinių brandos egzaminų organizavimo ir vykdymo tvarkos aprašo patvirtinimo”, vartojamas sąvokas</w:t>
      </w:r>
      <w:r w:rsidRPr="006B2D4B">
        <w:rPr>
          <w:sz w:val="24"/>
          <w:szCs w:val="24"/>
          <w:lang w:eastAsia="en-US"/>
        </w:rPr>
        <w:t>. Apraše naudojami sutrumpinimai: DU – darbo užmokestis, RĮ – rekomendacinis įkainis, ET – egzamino trukmė,  PD – valandos už  papildomus darbus.</w:t>
      </w:r>
    </w:p>
    <w:p w14:paraId="4C7F18E8" w14:textId="77777777" w:rsidR="00970F02" w:rsidRPr="006B2D4B" w:rsidRDefault="00970F02" w:rsidP="006B2D4B">
      <w:pPr>
        <w:ind w:firstLine="1134"/>
        <w:contextualSpacing/>
        <w:jc w:val="both"/>
        <w:rPr>
          <w:sz w:val="24"/>
          <w:szCs w:val="24"/>
          <w:lang w:eastAsia="en-US"/>
        </w:rPr>
      </w:pPr>
    </w:p>
    <w:p w14:paraId="42EB5ED0" w14:textId="77777777" w:rsidR="00970F02" w:rsidRPr="006B2D4B" w:rsidRDefault="00970F02" w:rsidP="006B2D4B">
      <w:pPr>
        <w:ind w:firstLine="1134"/>
        <w:contextualSpacing/>
        <w:jc w:val="center"/>
        <w:rPr>
          <w:b/>
          <w:bCs/>
          <w:sz w:val="24"/>
          <w:szCs w:val="24"/>
          <w:lang w:eastAsia="en-US"/>
        </w:rPr>
      </w:pPr>
      <w:r w:rsidRPr="006B2D4B">
        <w:rPr>
          <w:b/>
          <w:bCs/>
          <w:sz w:val="24"/>
          <w:szCs w:val="24"/>
          <w:lang w:eastAsia="en-US"/>
        </w:rPr>
        <w:t xml:space="preserve">II SKYRIUS </w:t>
      </w:r>
    </w:p>
    <w:p w14:paraId="5AA125EE" w14:textId="77777777" w:rsidR="00970F02" w:rsidRPr="006B2D4B" w:rsidRDefault="00970F02" w:rsidP="006B2D4B">
      <w:pPr>
        <w:ind w:firstLine="1134"/>
        <w:contextualSpacing/>
        <w:jc w:val="center"/>
        <w:rPr>
          <w:b/>
          <w:bCs/>
          <w:sz w:val="24"/>
          <w:szCs w:val="24"/>
          <w:lang w:eastAsia="en-US"/>
        </w:rPr>
      </w:pPr>
      <w:r w:rsidRPr="006B2D4B">
        <w:rPr>
          <w:b/>
          <w:bCs/>
          <w:sz w:val="24"/>
          <w:szCs w:val="24"/>
          <w:lang w:eastAsia="en-US"/>
        </w:rPr>
        <w:t>APMOKĖJIMAS UŽ PAGRINDINĖS SESIJOS VALSTYBINIŲ</w:t>
      </w:r>
    </w:p>
    <w:p w14:paraId="73390987" w14:textId="77777777" w:rsidR="00970F02" w:rsidRPr="006B2D4B" w:rsidRDefault="00970F02" w:rsidP="006B2D4B">
      <w:pPr>
        <w:ind w:firstLine="1134"/>
        <w:contextualSpacing/>
        <w:jc w:val="center"/>
        <w:rPr>
          <w:b/>
          <w:bCs/>
          <w:sz w:val="24"/>
          <w:szCs w:val="24"/>
          <w:lang w:eastAsia="en-US"/>
        </w:rPr>
      </w:pPr>
      <w:r w:rsidRPr="006B2D4B">
        <w:rPr>
          <w:b/>
          <w:bCs/>
          <w:sz w:val="24"/>
          <w:szCs w:val="24"/>
          <w:lang w:eastAsia="en-US"/>
        </w:rPr>
        <w:t>BRANDOS EGZAMINŲ VYKDYMĄ</w:t>
      </w:r>
    </w:p>
    <w:p w14:paraId="6E2F79B9" w14:textId="77777777" w:rsidR="00970F02" w:rsidRPr="006B2D4B" w:rsidRDefault="00970F02" w:rsidP="006B2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contextualSpacing/>
        <w:rPr>
          <w:sz w:val="24"/>
          <w:szCs w:val="24"/>
          <w:lang w:eastAsia="lt-LT"/>
        </w:rPr>
      </w:pPr>
    </w:p>
    <w:p w14:paraId="2E5DADD0" w14:textId="302FB418" w:rsidR="00970F02" w:rsidRPr="006B2D4B" w:rsidRDefault="00970F02" w:rsidP="006B2D4B">
      <w:pPr>
        <w:ind w:firstLine="709"/>
        <w:contextualSpacing/>
        <w:jc w:val="both"/>
        <w:rPr>
          <w:sz w:val="24"/>
          <w:szCs w:val="24"/>
          <w:lang w:eastAsia="en-US"/>
        </w:rPr>
      </w:pPr>
      <w:r w:rsidRPr="006B2D4B">
        <w:rPr>
          <w:sz w:val="24"/>
          <w:szCs w:val="24"/>
          <w:lang w:eastAsia="en-US"/>
        </w:rPr>
        <w:t>3. Už pagrindinės ir pakartotinės sesijų valstybinių brandos egzaminų vykdymą mokama valstybinių brandos egzaminų</w:t>
      </w:r>
      <w:r w:rsidR="001F0222" w:rsidRPr="006B2D4B">
        <w:rPr>
          <w:sz w:val="24"/>
          <w:szCs w:val="24"/>
          <w:lang w:eastAsia="en-US"/>
        </w:rPr>
        <w:t xml:space="preserve"> dalių</w:t>
      </w:r>
      <w:r w:rsidRPr="006B2D4B">
        <w:rPr>
          <w:color w:val="FF0000"/>
          <w:sz w:val="24"/>
          <w:szCs w:val="24"/>
          <w:lang w:eastAsia="en-US"/>
        </w:rPr>
        <w:t xml:space="preserve"> </w:t>
      </w:r>
      <w:r w:rsidRPr="006B2D4B">
        <w:rPr>
          <w:sz w:val="24"/>
          <w:szCs w:val="24"/>
          <w:lang w:eastAsia="en-US"/>
        </w:rPr>
        <w:t>centrų vykdymo grupių vyresniesiems vykdytojams, administratoriams, vykdytojams</w:t>
      </w:r>
      <w:r w:rsidR="00C479C3" w:rsidRPr="006B2D4B">
        <w:rPr>
          <w:sz w:val="24"/>
          <w:szCs w:val="24"/>
          <w:lang w:eastAsia="en-US"/>
        </w:rPr>
        <w:t>.</w:t>
      </w:r>
      <w:r w:rsidRPr="006B2D4B">
        <w:rPr>
          <w:sz w:val="24"/>
          <w:szCs w:val="24"/>
          <w:lang w:eastAsia="en-US"/>
        </w:rPr>
        <w:t xml:space="preserve"> </w:t>
      </w:r>
      <w:r w:rsidR="00C479C3" w:rsidRPr="006B2D4B">
        <w:rPr>
          <w:sz w:val="24"/>
          <w:szCs w:val="24"/>
          <w:lang w:eastAsia="en-US"/>
        </w:rPr>
        <w:t>D</w:t>
      </w:r>
      <w:r w:rsidRPr="006B2D4B">
        <w:rPr>
          <w:sz w:val="24"/>
          <w:szCs w:val="24"/>
          <w:lang w:eastAsia="en-US"/>
        </w:rPr>
        <w:t>arbo valandos nustatomos vadovaujantis Nacionalinės švietimo agentūros direktoriaus įsakymais patvirtintose valstybinių brandos egzaminų vykdymo instrukcijose ir (ar) valstybinių brandos egzaminų užduočių aprašuose nustatytomis trukmėmis.</w:t>
      </w:r>
    </w:p>
    <w:p w14:paraId="5AE1C4ED" w14:textId="77777777" w:rsidR="00970F02" w:rsidRPr="006B2D4B" w:rsidRDefault="00970F02" w:rsidP="006B2D4B">
      <w:pPr>
        <w:ind w:firstLine="709"/>
        <w:contextualSpacing/>
        <w:jc w:val="both"/>
        <w:rPr>
          <w:sz w:val="24"/>
          <w:szCs w:val="24"/>
          <w:lang w:eastAsia="en-US"/>
        </w:rPr>
      </w:pPr>
      <w:r w:rsidRPr="006B2D4B">
        <w:rPr>
          <w:sz w:val="24"/>
          <w:szCs w:val="24"/>
          <w:lang w:eastAsia="en-US"/>
        </w:rPr>
        <w:t>4. Už vyresniojo vykdytojo atliekamas funkcijas taikomas 7 Eur/val. RĮ. Darbo užmokestis apskaičiuojamas pagal formulę: DU═ RĮ x (ET + PD). Vyresniajam vykdytojui už papildomų funkcijų atlikimą PD valandos skiriamos taip:</w:t>
      </w:r>
    </w:p>
    <w:p w14:paraId="224C9310" w14:textId="19D29B37" w:rsidR="00970F02" w:rsidRPr="006B2D4B" w:rsidRDefault="00970F02" w:rsidP="006B2D4B">
      <w:pPr>
        <w:ind w:firstLine="709"/>
        <w:contextualSpacing/>
        <w:jc w:val="both"/>
        <w:rPr>
          <w:sz w:val="24"/>
          <w:szCs w:val="24"/>
          <w:lang w:eastAsia="en-US"/>
        </w:rPr>
      </w:pPr>
      <w:r w:rsidRPr="006B2D4B">
        <w:rPr>
          <w:sz w:val="24"/>
          <w:szCs w:val="24"/>
          <w:lang w:eastAsia="en-US"/>
        </w:rPr>
        <w:t>4.1. už valstybinių brandos egzaminų pirmųjų dalių organizavimą ir vykdymą – 2 valandos (už vykdytojų supažindinimą su bendromis valstybinio brandos egzamino pirmosios dalies vykdymo procedūromis, protokolų ir kitų dokumentų pildymą, darbą su Nacionalinių egzaminų centralizuota informacine sistema (toliau – NECIS)</w:t>
      </w:r>
      <w:r w:rsidR="00C479C3" w:rsidRPr="006B2D4B">
        <w:rPr>
          <w:sz w:val="24"/>
          <w:szCs w:val="24"/>
          <w:lang w:eastAsia="en-US"/>
        </w:rPr>
        <w:t>)</w:t>
      </w:r>
      <w:r w:rsidRPr="006B2D4B">
        <w:rPr>
          <w:sz w:val="24"/>
          <w:szCs w:val="24"/>
          <w:lang w:eastAsia="en-US"/>
        </w:rPr>
        <w:t>;</w:t>
      </w:r>
    </w:p>
    <w:p w14:paraId="6EB293EB" w14:textId="77777777" w:rsidR="00970F02" w:rsidRPr="006B2D4B" w:rsidRDefault="00970F02" w:rsidP="006B2D4B">
      <w:pPr>
        <w:ind w:firstLine="709"/>
        <w:contextualSpacing/>
        <w:jc w:val="both"/>
        <w:rPr>
          <w:sz w:val="24"/>
          <w:szCs w:val="24"/>
          <w:lang w:eastAsia="en-US"/>
        </w:rPr>
      </w:pPr>
      <w:r w:rsidRPr="006B2D4B">
        <w:rPr>
          <w:sz w:val="24"/>
          <w:szCs w:val="24"/>
          <w:lang w:eastAsia="en-US"/>
        </w:rPr>
        <w:t>4.2. už valstybinių brandos egzaminų antrųjų dalių vykdymą – 4 valandos (už vykdytojų supažindinimą su bendromis valstybinio brandos egzamino antrosios dalies vykdymo procedūromis, pakuočių su egzaminų užduotimis gavimą ir grąžinimą, protokolų ir kitų dokumentų pildymą, darbą su informacine sistema NECIS, kitų Valstybinių brandos egzaminų organizavimo ir vykdymo tvarkos apraše nurodytų reikalavimų vykdymą).</w:t>
      </w:r>
    </w:p>
    <w:p w14:paraId="53E186AC" w14:textId="77777777" w:rsidR="00970F02" w:rsidRPr="006B2D4B" w:rsidRDefault="00970F02" w:rsidP="006B2D4B">
      <w:pPr>
        <w:ind w:firstLine="709"/>
        <w:contextualSpacing/>
        <w:jc w:val="both"/>
        <w:rPr>
          <w:sz w:val="24"/>
          <w:szCs w:val="24"/>
          <w:lang w:eastAsia="en-US"/>
        </w:rPr>
      </w:pPr>
      <w:r w:rsidRPr="006B2D4B">
        <w:rPr>
          <w:sz w:val="24"/>
          <w:szCs w:val="24"/>
          <w:lang w:eastAsia="en-US"/>
        </w:rPr>
        <w:t>5. Už administratoriaus atliekamas funkcijas taikomas 6,70 Eur/val. RĮ. Darbo užmokestis apskaičiuojamas taip: DU═ RĮ x (ET + PD). Administratoriui už papildomų funkcijų atlikimą PD valandos skiriamos taip:</w:t>
      </w:r>
    </w:p>
    <w:p w14:paraId="0DF84855" w14:textId="50E3144C" w:rsidR="00970F02" w:rsidRPr="006B2D4B" w:rsidRDefault="00970F02" w:rsidP="006B2D4B">
      <w:pPr>
        <w:ind w:firstLine="709"/>
        <w:contextualSpacing/>
        <w:jc w:val="both"/>
        <w:rPr>
          <w:sz w:val="24"/>
          <w:szCs w:val="24"/>
          <w:lang w:eastAsia="en-US"/>
        </w:rPr>
      </w:pPr>
      <w:r w:rsidRPr="006B2D4B">
        <w:rPr>
          <w:sz w:val="24"/>
          <w:szCs w:val="24"/>
          <w:lang w:eastAsia="en-US"/>
        </w:rPr>
        <w:t xml:space="preserve">5.1. už valstybinių brandos egzaminų pirmųjų dalių organizavimą ir vykdymą – 2 valandos (už patalpų paruošimą ir aprūpinimą dalyko valstybiniam brandos egzaminui reikalingomis priemonėmis ir leidiniais, nurodytais valstybinio brandos egzamino vykdymo instrukcijoje, už darbą su informacine sistema NECIS). </w:t>
      </w:r>
    </w:p>
    <w:p w14:paraId="08FBA22D" w14:textId="77777777" w:rsidR="00970F02" w:rsidRPr="006B2D4B" w:rsidRDefault="00970F02" w:rsidP="006B2D4B">
      <w:pPr>
        <w:ind w:firstLine="709"/>
        <w:contextualSpacing/>
        <w:jc w:val="both"/>
        <w:rPr>
          <w:sz w:val="24"/>
          <w:szCs w:val="24"/>
          <w:lang w:eastAsia="en-US"/>
        </w:rPr>
      </w:pPr>
      <w:r w:rsidRPr="006B2D4B">
        <w:rPr>
          <w:sz w:val="24"/>
          <w:szCs w:val="24"/>
          <w:lang w:eastAsia="en-US"/>
        </w:rPr>
        <w:t xml:space="preserve">5.2. už valstybinių brandos egzaminų antrųjų dalių organizavimą ir vykdymą – 3 valandos (už patalpų paruošimą ir aprūpinimą dalyko valstybiniam brandos egzaminui reikalingomis priemonėmis </w:t>
      </w:r>
      <w:r w:rsidRPr="006B2D4B">
        <w:rPr>
          <w:sz w:val="24"/>
          <w:szCs w:val="24"/>
          <w:lang w:eastAsia="en-US"/>
        </w:rPr>
        <w:lastRenderedPageBreak/>
        <w:t>ir leidiniais, nurodytais valstybinio brandos egzamino vykdymo instrukcijoje, už kandidatų įleidimą į dalyko brandos egzaminų centrą ir pirminių kandidatų asmens tapatybės dokumentų patikrinimą, už tvarkos palaikymą valstybinio brandos egzamino dalies vykdymo metu, už užduočių sąsiuvinių atidavimą per vieną valandą po egzamino pageidaujantiems kandidatams ir kitų administratoriui numatytų funkcijų atlikimą).</w:t>
      </w:r>
    </w:p>
    <w:p w14:paraId="38893BCA" w14:textId="7DDF711D" w:rsidR="00970F02" w:rsidRPr="006B2D4B" w:rsidRDefault="00970F02" w:rsidP="006B2D4B">
      <w:pPr>
        <w:ind w:firstLine="709"/>
        <w:contextualSpacing/>
        <w:jc w:val="both"/>
        <w:rPr>
          <w:sz w:val="24"/>
          <w:szCs w:val="24"/>
          <w:lang w:eastAsia="en-US"/>
        </w:rPr>
      </w:pPr>
      <w:r w:rsidRPr="006B2D4B">
        <w:rPr>
          <w:sz w:val="24"/>
          <w:szCs w:val="24"/>
          <w:lang w:eastAsia="en-US"/>
        </w:rPr>
        <w:t>6. Už vykdytojo atliekamas funkcijas taikomas 6,</w:t>
      </w:r>
      <w:r w:rsidR="00D50B9B" w:rsidRPr="006B2D4B">
        <w:rPr>
          <w:sz w:val="24"/>
          <w:szCs w:val="24"/>
          <w:lang w:eastAsia="en-US"/>
        </w:rPr>
        <w:t>4</w:t>
      </w:r>
      <w:r w:rsidRPr="006B2D4B">
        <w:rPr>
          <w:sz w:val="24"/>
          <w:szCs w:val="24"/>
          <w:lang w:eastAsia="en-US"/>
        </w:rPr>
        <w:t xml:space="preserve">0 Eur/val. RĮ. Darbo užmokestis apskaičiuojamas taip: DU═ RĮ x (ET + PD). </w:t>
      </w:r>
      <w:r w:rsidRPr="006B2D4B">
        <w:rPr>
          <w:sz w:val="24"/>
          <w:szCs w:val="24"/>
          <w:lang w:eastAsia="zh-CN"/>
        </w:rPr>
        <w:t>Vykdytojui nustatytoms funkcijoms atlikti prieš ir po egzamino PD valandos skiriamos taip</w:t>
      </w:r>
      <w:r w:rsidRPr="006B2D4B">
        <w:rPr>
          <w:sz w:val="24"/>
          <w:szCs w:val="24"/>
          <w:lang w:eastAsia="en-US"/>
        </w:rPr>
        <w:t>:</w:t>
      </w:r>
    </w:p>
    <w:p w14:paraId="03C78B01" w14:textId="77777777" w:rsidR="00970F02" w:rsidRPr="006B2D4B" w:rsidRDefault="00970F02" w:rsidP="006B2D4B">
      <w:pPr>
        <w:ind w:firstLine="709"/>
        <w:contextualSpacing/>
        <w:jc w:val="both"/>
        <w:rPr>
          <w:sz w:val="24"/>
          <w:szCs w:val="24"/>
          <w:lang w:eastAsia="en-US"/>
        </w:rPr>
      </w:pPr>
      <w:r w:rsidRPr="006B2D4B">
        <w:rPr>
          <w:sz w:val="24"/>
          <w:szCs w:val="24"/>
          <w:lang w:eastAsia="en-US"/>
        </w:rPr>
        <w:t>6.1. už valstybinių brandos egzaminų pirmųjų dalių vykdymą – 1val. (už susipažinimą su valstybinio brandos egzamino dalies vykdymo instrukcija, protokolų pildymą);</w:t>
      </w:r>
    </w:p>
    <w:p w14:paraId="192C57F1" w14:textId="77777777" w:rsidR="00970F02" w:rsidRPr="006B2D4B" w:rsidRDefault="00970F02" w:rsidP="006B2D4B">
      <w:pPr>
        <w:ind w:firstLine="709"/>
        <w:contextualSpacing/>
        <w:jc w:val="both"/>
        <w:rPr>
          <w:sz w:val="24"/>
          <w:szCs w:val="24"/>
          <w:lang w:eastAsia="en-US"/>
        </w:rPr>
      </w:pPr>
      <w:r w:rsidRPr="006B2D4B">
        <w:rPr>
          <w:sz w:val="24"/>
          <w:szCs w:val="24"/>
          <w:lang w:eastAsia="en-US"/>
        </w:rPr>
        <w:t>6.2. už valstybinių brandos egzaminų antrųjų dalių vykdymą – 2 val. (</w:t>
      </w:r>
      <w:bookmarkStart w:id="3" w:name="_Hlk197607878"/>
      <w:r w:rsidRPr="006B2D4B">
        <w:rPr>
          <w:sz w:val="24"/>
          <w:szCs w:val="24"/>
          <w:lang w:eastAsia="en-US"/>
        </w:rPr>
        <w:t xml:space="preserve">už susipažinimą su  </w:t>
      </w:r>
      <w:bookmarkEnd w:id="3"/>
      <w:r w:rsidRPr="006B2D4B">
        <w:rPr>
          <w:sz w:val="24"/>
          <w:szCs w:val="24"/>
          <w:lang w:eastAsia="en-US"/>
        </w:rPr>
        <w:t>valstybinio brandos egzamino vykdymo instrukcija, kandidatų įleidimą į egzaminui skirtą patalpą, už vykdymo protokolų užpildymą, kandidatų darbų surinkimą ir vokų užklijavimą, jų perdavimą vyresniajam vykdytojui.</w:t>
      </w:r>
    </w:p>
    <w:p w14:paraId="55368354" w14:textId="77777777" w:rsidR="00970F02" w:rsidRPr="006B2D4B" w:rsidRDefault="00970F02" w:rsidP="006B2D4B">
      <w:pPr>
        <w:ind w:firstLine="709"/>
        <w:contextualSpacing/>
        <w:jc w:val="both"/>
        <w:rPr>
          <w:sz w:val="24"/>
          <w:szCs w:val="24"/>
          <w:lang w:eastAsia="en-US"/>
        </w:rPr>
      </w:pPr>
      <w:r w:rsidRPr="006B2D4B">
        <w:rPr>
          <w:sz w:val="24"/>
          <w:szCs w:val="24"/>
          <w:lang w:eastAsia="en-US"/>
        </w:rPr>
        <w:t>7. Vyresniajam vykdytojui, administratoriui ir vykdytojams už valstybinių brandos egzaminų, jų dalių vykdymą specialiųjų ugdymosi poreikių turintiems kandidatams mokama papildomai, atsižvelgiant į egzamino užduoties vykdymo laiko pratęsimo trukmę (už kiekvieną egzamino, jo dalies vykdymo laiko pratęsimą 15 min. papildomai taikomas ET koeficientas – 0,25).</w:t>
      </w:r>
    </w:p>
    <w:p w14:paraId="275911FF" w14:textId="77777777" w:rsidR="00970F02" w:rsidRPr="006B2D4B" w:rsidRDefault="00970F02" w:rsidP="006B2D4B">
      <w:pPr>
        <w:ind w:firstLine="1134"/>
        <w:contextualSpacing/>
        <w:jc w:val="center"/>
        <w:rPr>
          <w:b/>
          <w:sz w:val="24"/>
          <w:szCs w:val="24"/>
          <w:lang w:eastAsia="en-US"/>
        </w:rPr>
      </w:pPr>
    </w:p>
    <w:p w14:paraId="1F142D5E" w14:textId="77777777" w:rsidR="00970F02" w:rsidRPr="006B2D4B" w:rsidRDefault="00970F02" w:rsidP="006B2D4B">
      <w:pPr>
        <w:ind w:firstLine="1134"/>
        <w:contextualSpacing/>
        <w:jc w:val="center"/>
        <w:rPr>
          <w:b/>
          <w:bCs/>
          <w:sz w:val="24"/>
          <w:szCs w:val="24"/>
          <w:lang w:eastAsia="en-US"/>
        </w:rPr>
      </w:pPr>
      <w:r w:rsidRPr="006B2D4B">
        <w:rPr>
          <w:b/>
          <w:sz w:val="24"/>
          <w:szCs w:val="24"/>
          <w:lang w:eastAsia="en-US"/>
        </w:rPr>
        <w:t xml:space="preserve">III </w:t>
      </w:r>
      <w:r w:rsidRPr="006B2D4B">
        <w:rPr>
          <w:b/>
          <w:bCs/>
          <w:sz w:val="24"/>
          <w:szCs w:val="24"/>
          <w:lang w:eastAsia="en-US"/>
        </w:rPr>
        <w:t>SKYRIUS</w:t>
      </w:r>
    </w:p>
    <w:p w14:paraId="641D3ECC" w14:textId="77777777" w:rsidR="00970F02" w:rsidRPr="006B2D4B" w:rsidRDefault="00970F02" w:rsidP="006B2D4B">
      <w:pPr>
        <w:ind w:firstLine="1134"/>
        <w:contextualSpacing/>
        <w:jc w:val="center"/>
        <w:rPr>
          <w:b/>
          <w:sz w:val="24"/>
          <w:szCs w:val="24"/>
          <w:lang w:eastAsia="en-US"/>
        </w:rPr>
      </w:pPr>
      <w:r w:rsidRPr="006B2D4B">
        <w:rPr>
          <w:b/>
          <w:sz w:val="24"/>
          <w:szCs w:val="24"/>
          <w:lang w:eastAsia="en-US"/>
        </w:rPr>
        <w:t>BAIGIAMOSIOS NUOSTATOS</w:t>
      </w:r>
    </w:p>
    <w:p w14:paraId="50FEF52B" w14:textId="77777777" w:rsidR="00970F02" w:rsidRPr="006B2D4B" w:rsidRDefault="00970F02" w:rsidP="006B2D4B">
      <w:pPr>
        <w:ind w:firstLine="1134"/>
        <w:contextualSpacing/>
        <w:jc w:val="both"/>
        <w:rPr>
          <w:b/>
          <w:sz w:val="24"/>
          <w:szCs w:val="24"/>
          <w:lang w:eastAsia="en-US"/>
        </w:rPr>
      </w:pPr>
    </w:p>
    <w:p w14:paraId="60106363" w14:textId="6DADDFA7" w:rsidR="00970F02" w:rsidRPr="006B2D4B" w:rsidRDefault="00970F02" w:rsidP="006B2D4B">
      <w:pPr>
        <w:ind w:firstLine="709"/>
        <w:contextualSpacing/>
        <w:jc w:val="both"/>
        <w:rPr>
          <w:sz w:val="24"/>
          <w:szCs w:val="24"/>
          <w:lang w:eastAsia="en-US"/>
        </w:rPr>
      </w:pPr>
      <w:r w:rsidRPr="006B2D4B">
        <w:rPr>
          <w:sz w:val="24"/>
          <w:szCs w:val="24"/>
          <w:lang w:eastAsia="en-US"/>
        </w:rPr>
        <w:t>8. Švietimo įstaigų, kuriose buvo įsteigti valstybinių brandos egzaminų vykdymo  centrai, vadovai ne vėliau kaip iki einamųjų metų rugpjūčio 1</w:t>
      </w:r>
      <w:r w:rsidR="00CA3D28" w:rsidRPr="006B2D4B">
        <w:rPr>
          <w:sz w:val="24"/>
          <w:szCs w:val="24"/>
          <w:lang w:eastAsia="en-US"/>
        </w:rPr>
        <w:t>5</w:t>
      </w:r>
      <w:r w:rsidRPr="006B2D4B">
        <w:rPr>
          <w:sz w:val="24"/>
          <w:szCs w:val="24"/>
          <w:lang w:eastAsia="en-US"/>
        </w:rPr>
        <w:t xml:space="preserve"> dienos  pateikia Savivaldybės administracijos Biudžeto ir finansų skyriaus vyriausiajam specialistui ir Švietimo, kultūros ir sporto skyriaus vyriausiajam specialistui,  atsakingam už brandos egzaminų organizavimą ir koordinavimą, užpildytą lėšų poreikio apskaičiavimo lentelę (priedas).</w:t>
      </w:r>
    </w:p>
    <w:p w14:paraId="6FC1B4F6" w14:textId="77777777" w:rsidR="00970F02" w:rsidRPr="006B2D4B" w:rsidRDefault="00970F02" w:rsidP="006B2D4B">
      <w:pPr>
        <w:ind w:firstLine="709"/>
        <w:contextualSpacing/>
        <w:jc w:val="both"/>
        <w:rPr>
          <w:sz w:val="24"/>
          <w:szCs w:val="24"/>
          <w:lang w:eastAsia="en-US"/>
        </w:rPr>
      </w:pPr>
      <w:r w:rsidRPr="006B2D4B">
        <w:rPr>
          <w:sz w:val="24"/>
          <w:szCs w:val="24"/>
          <w:lang w:eastAsia="en-US"/>
        </w:rPr>
        <w:t xml:space="preserve">9. Savivaldybės administracijos Biudžeto ir  </w:t>
      </w:r>
      <w:r w:rsidRPr="006B2D4B">
        <w:rPr>
          <w:bCs/>
          <w:sz w:val="24"/>
          <w:szCs w:val="24"/>
          <w:lang w:eastAsia="en-US"/>
        </w:rPr>
        <w:t>finansų</w:t>
      </w:r>
      <w:r w:rsidRPr="006B2D4B">
        <w:rPr>
          <w:sz w:val="24"/>
          <w:szCs w:val="24"/>
          <w:lang w:eastAsia="en-US"/>
        </w:rPr>
        <w:t xml:space="preserve"> skyrius pagal pateiktus duomenis parengia mokymo lėšų asignavimų sumos valstybiniams brandos egzaminams organizuoti, vykdyti ir vertinti paskirstymą.</w:t>
      </w:r>
    </w:p>
    <w:p w14:paraId="75484610" w14:textId="1B95C480" w:rsidR="00970F02" w:rsidRPr="006B2D4B" w:rsidRDefault="00970F02" w:rsidP="006B2D4B">
      <w:pPr>
        <w:ind w:firstLine="709"/>
        <w:contextualSpacing/>
        <w:jc w:val="both"/>
        <w:rPr>
          <w:sz w:val="24"/>
          <w:szCs w:val="24"/>
          <w:lang w:eastAsia="en-US"/>
        </w:rPr>
      </w:pPr>
      <w:r w:rsidRPr="006B2D4B">
        <w:rPr>
          <w:sz w:val="24"/>
          <w:szCs w:val="24"/>
          <w:lang w:eastAsia="en-US"/>
        </w:rPr>
        <w:t>1</w:t>
      </w:r>
      <w:r w:rsidR="001200FD" w:rsidRPr="006B2D4B">
        <w:rPr>
          <w:sz w:val="24"/>
          <w:szCs w:val="24"/>
          <w:lang w:eastAsia="en-US"/>
        </w:rPr>
        <w:t>0</w:t>
      </w:r>
      <w:r w:rsidRPr="006B2D4B">
        <w:rPr>
          <w:sz w:val="24"/>
          <w:szCs w:val="24"/>
          <w:lang w:eastAsia="en-US"/>
        </w:rPr>
        <w:t xml:space="preserve">. Lėšos švietimo įstaigoms paskirstomos </w:t>
      </w:r>
      <w:r w:rsidR="00D50B9B" w:rsidRPr="006B2D4B">
        <w:rPr>
          <w:sz w:val="24"/>
          <w:szCs w:val="24"/>
          <w:lang w:eastAsia="en-US"/>
        </w:rPr>
        <w:t>S</w:t>
      </w:r>
      <w:r w:rsidRPr="006B2D4B">
        <w:rPr>
          <w:sz w:val="24"/>
          <w:szCs w:val="24"/>
          <w:lang w:eastAsia="en-US"/>
        </w:rPr>
        <w:t>avivaldybės mero potvarkiu.</w:t>
      </w:r>
    </w:p>
    <w:p w14:paraId="70B4C806" w14:textId="2A85C651" w:rsidR="00970F02" w:rsidRPr="006B2D4B" w:rsidRDefault="00970F02" w:rsidP="006B2D4B">
      <w:pPr>
        <w:ind w:firstLine="709"/>
        <w:contextualSpacing/>
        <w:jc w:val="both"/>
        <w:rPr>
          <w:sz w:val="24"/>
          <w:szCs w:val="24"/>
          <w:lang w:eastAsia="en-US"/>
        </w:rPr>
      </w:pPr>
      <w:r w:rsidRPr="006B2D4B">
        <w:rPr>
          <w:sz w:val="24"/>
          <w:szCs w:val="24"/>
          <w:lang w:eastAsia="en-US"/>
        </w:rPr>
        <w:t>1</w:t>
      </w:r>
      <w:r w:rsidR="001200FD" w:rsidRPr="006B2D4B">
        <w:rPr>
          <w:sz w:val="24"/>
          <w:szCs w:val="24"/>
          <w:lang w:eastAsia="en-US"/>
        </w:rPr>
        <w:t>1</w:t>
      </w:r>
      <w:r w:rsidRPr="006B2D4B">
        <w:rPr>
          <w:sz w:val="24"/>
          <w:szCs w:val="24"/>
          <w:lang w:eastAsia="en-US"/>
        </w:rPr>
        <w:t>. Švietimo įstaigų vadovai atsako už teisingą informacijos pateikimą, lėšų apskaitą ir jų panaudojimą.</w:t>
      </w:r>
    </w:p>
    <w:p w14:paraId="626A83E4" w14:textId="63016682" w:rsidR="00970F02" w:rsidRPr="006B2D4B" w:rsidRDefault="00970F02" w:rsidP="006B2D4B">
      <w:pPr>
        <w:ind w:firstLine="709"/>
        <w:contextualSpacing/>
        <w:jc w:val="both"/>
        <w:rPr>
          <w:sz w:val="24"/>
          <w:szCs w:val="24"/>
          <w:lang w:eastAsia="en-US"/>
        </w:rPr>
      </w:pPr>
      <w:r w:rsidRPr="006B2D4B">
        <w:rPr>
          <w:sz w:val="24"/>
          <w:szCs w:val="24"/>
          <w:lang w:eastAsia="en-US"/>
        </w:rPr>
        <w:t>1</w:t>
      </w:r>
      <w:r w:rsidR="001200FD" w:rsidRPr="006B2D4B">
        <w:rPr>
          <w:sz w:val="24"/>
          <w:szCs w:val="24"/>
          <w:lang w:eastAsia="en-US"/>
        </w:rPr>
        <w:t>2</w:t>
      </w:r>
      <w:r w:rsidRPr="006B2D4B">
        <w:rPr>
          <w:sz w:val="24"/>
          <w:szCs w:val="24"/>
          <w:lang w:eastAsia="en-US"/>
        </w:rPr>
        <w:t xml:space="preserve">. Šiuo </w:t>
      </w:r>
      <w:r w:rsidR="000810B5" w:rsidRPr="006B2D4B">
        <w:rPr>
          <w:sz w:val="24"/>
          <w:szCs w:val="24"/>
          <w:lang w:eastAsia="en-US"/>
        </w:rPr>
        <w:t>Aprašu</w:t>
      </w:r>
      <w:r w:rsidRPr="006B2D4B">
        <w:rPr>
          <w:sz w:val="24"/>
          <w:szCs w:val="24"/>
          <w:lang w:eastAsia="en-US"/>
        </w:rPr>
        <w:t xml:space="preserve"> vadovaujasi Savivaldybės administracijos Biudžeto ir finansų skyrius, Švietimo, kultūros ir sporto skyrius, Kėdainių rajono švietimo įstaigos.</w:t>
      </w:r>
    </w:p>
    <w:p w14:paraId="2B52A975" w14:textId="3E2B0044" w:rsidR="00970F02" w:rsidRPr="006B2D4B" w:rsidRDefault="00970F02" w:rsidP="006B2D4B">
      <w:pPr>
        <w:contextualSpacing/>
        <w:jc w:val="center"/>
        <w:rPr>
          <w:sz w:val="24"/>
          <w:szCs w:val="24"/>
          <w:lang w:eastAsia="en-US"/>
        </w:rPr>
      </w:pPr>
      <w:r w:rsidRPr="006B2D4B">
        <w:rPr>
          <w:sz w:val="22"/>
          <w:szCs w:val="22"/>
          <w:lang w:eastAsia="en-US"/>
        </w:rPr>
        <w:t>___________________________________________</w:t>
      </w:r>
    </w:p>
    <w:p w14:paraId="1D3BA900" w14:textId="77777777" w:rsidR="00970F02" w:rsidRPr="006B2D4B" w:rsidRDefault="00970F02" w:rsidP="006B2D4B">
      <w:pPr>
        <w:ind w:left="5387"/>
        <w:contextualSpacing/>
        <w:rPr>
          <w:sz w:val="24"/>
          <w:lang w:eastAsia="en-US"/>
        </w:rPr>
        <w:sectPr w:rsidR="00970F02" w:rsidRPr="006B2D4B" w:rsidSect="00970F02">
          <w:pgSz w:w="11906" w:h="16838"/>
          <w:pgMar w:top="1134" w:right="567" w:bottom="1134" w:left="1701" w:header="567" w:footer="567" w:gutter="0"/>
          <w:pgNumType w:start="1"/>
          <w:cols w:space="1296"/>
          <w:titlePg/>
          <w:docGrid w:linePitch="360"/>
        </w:sectPr>
      </w:pPr>
    </w:p>
    <w:p w14:paraId="14CF2105" w14:textId="77777777" w:rsidR="00970F02" w:rsidRPr="006B2D4B" w:rsidRDefault="00970F02" w:rsidP="006B2D4B">
      <w:pPr>
        <w:ind w:left="5387"/>
        <w:contextualSpacing/>
        <w:rPr>
          <w:color w:val="000000"/>
          <w:sz w:val="22"/>
          <w:szCs w:val="22"/>
          <w:lang w:eastAsia="en-US"/>
        </w:rPr>
      </w:pPr>
      <w:r w:rsidRPr="006B2D4B">
        <w:rPr>
          <w:rFonts w:eastAsia="Lucida Sans Unicode"/>
          <w:bCs/>
          <w:kern w:val="3"/>
          <w:sz w:val="24"/>
          <w:szCs w:val="24"/>
          <w:lang w:eastAsia="zh-CN" w:bidi="hi-IN"/>
        </w:rPr>
        <w:lastRenderedPageBreak/>
        <w:t>Apmokėjimo už pagrindinės ir pakartotinės sesijų valstybinių brandos egzaminų vykdymą tvarkos aprašo</w:t>
      </w:r>
    </w:p>
    <w:p w14:paraId="6932833F" w14:textId="77777777" w:rsidR="00970F02" w:rsidRPr="006B2D4B" w:rsidRDefault="00970F02" w:rsidP="006B2D4B">
      <w:pPr>
        <w:ind w:left="4091" w:firstLine="1296"/>
        <w:contextualSpacing/>
        <w:rPr>
          <w:bCs/>
          <w:color w:val="000000"/>
          <w:sz w:val="22"/>
          <w:szCs w:val="22"/>
          <w:lang w:eastAsia="en-US"/>
        </w:rPr>
      </w:pPr>
      <w:r w:rsidRPr="006B2D4B">
        <w:rPr>
          <w:color w:val="000000"/>
          <w:sz w:val="22"/>
          <w:szCs w:val="22"/>
          <w:lang w:eastAsia="en-US"/>
        </w:rPr>
        <w:t xml:space="preserve"> priedas </w:t>
      </w:r>
    </w:p>
    <w:p w14:paraId="51E1FE33" w14:textId="77777777" w:rsidR="00970F02" w:rsidRPr="006B2D4B" w:rsidRDefault="00970F02" w:rsidP="006B2D4B">
      <w:pPr>
        <w:contextualSpacing/>
        <w:jc w:val="center"/>
        <w:rPr>
          <w:sz w:val="22"/>
          <w:szCs w:val="22"/>
          <w:lang w:eastAsia="en-US"/>
        </w:rPr>
      </w:pPr>
    </w:p>
    <w:p w14:paraId="65E1BD19" w14:textId="77777777" w:rsidR="00970F02" w:rsidRPr="006B2D4B" w:rsidRDefault="00970F02" w:rsidP="006B2D4B">
      <w:pPr>
        <w:contextualSpacing/>
        <w:jc w:val="center"/>
        <w:rPr>
          <w:sz w:val="22"/>
          <w:szCs w:val="22"/>
          <w:lang w:eastAsia="en-US"/>
        </w:rPr>
      </w:pPr>
    </w:p>
    <w:p w14:paraId="2020485E" w14:textId="77777777" w:rsidR="00970F02" w:rsidRPr="006B2D4B" w:rsidRDefault="00970F02" w:rsidP="006B2D4B">
      <w:pPr>
        <w:contextualSpacing/>
        <w:jc w:val="center"/>
        <w:rPr>
          <w:b/>
          <w:sz w:val="24"/>
          <w:szCs w:val="24"/>
          <w:lang w:eastAsia="en-US"/>
        </w:rPr>
      </w:pPr>
      <w:r w:rsidRPr="006B2D4B">
        <w:rPr>
          <w:b/>
          <w:sz w:val="24"/>
          <w:szCs w:val="24"/>
          <w:lang w:eastAsia="en-US"/>
        </w:rPr>
        <w:t>LĖŠŲ POREIKIO APSKAIČIAVIMO LENTELĖ</w:t>
      </w:r>
    </w:p>
    <w:p w14:paraId="1185014A" w14:textId="77777777" w:rsidR="00970F02" w:rsidRPr="006B2D4B" w:rsidRDefault="00970F02" w:rsidP="006B2D4B">
      <w:pPr>
        <w:contextualSpacing/>
        <w:rPr>
          <w:sz w:val="22"/>
          <w:szCs w:val="22"/>
          <w:lang w:eastAsia="en-US"/>
        </w:rPr>
      </w:pPr>
    </w:p>
    <w:p w14:paraId="368F1DC5" w14:textId="77777777" w:rsidR="00970F02" w:rsidRPr="006B2D4B" w:rsidRDefault="00970F02" w:rsidP="006B2D4B">
      <w:pPr>
        <w:contextualSpacing/>
        <w:jc w:val="center"/>
        <w:rPr>
          <w:b/>
          <w:sz w:val="22"/>
          <w:szCs w:val="22"/>
          <w:lang w:eastAsia="en-US"/>
        </w:rPr>
      </w:pPr>
    </w:p>
    <w:p w14:paraId="2B75D6A6" w14:textId="77777777" w:rsidR="00970F02" w:rsidRPr="006B2D4B" w:rsidRDefault="00970F02" w:rsidP="006B2D4B">
      <w:pPr>
        <w:contextualSpacing/>
        <w:jc w:val="center"/>
        <w:rPr>
          <w:lang w:eastAsia="en-US"/>
        </w:rPr>
      </w:pPr>
      <w:r w:rsidRPr="006B2D4B">
        <w:rPr>
          <w:lang w:eastAsia="en-US"/>
        </w:rPr>
        <w:t>...............................................................................................................................................................................</w:t>
      </w:r>
    </w:p>
    <w:p w14:paraId="62B86E1A" w14:textId="77777777" w:rsidR="00970F02" w:rsidRPr="006B2D4B" w:rsidRDefault="00970F02" w:rsidP="006B2D4B">
      <w:pPr>
        <w:contextualSpacing/>
        <w:jc w:val="center"/>
        <w:rPr>
          <w:lang w:eastAsia="en-US"/>
        </w:rPr>
      </w:pPr>
      <w:r w:rsidRPr="006B2D4B">
        <w:rPr>
          <w:lang w:eastAsia="en-US"/>
        </w:rPr>
        <w:t>(mokyklos, kurioje įsteigtas egzamino centras, pavadinimas)</w:t>
      </w:r>
    </w:p>
    <w:p w14:paraId="5864C671" w14:textId="77777777" w:rsidR="00970F02" w:rsidRPr="006B2D4B" w:rsidRDefault="00970F02" w:rsidP="006B2D4B">
      <w:pPr>
        <w:contextualSpacing/>
        <w:jc w:val="center"/>
        <w:rPr>
          <w:lang w:eastAsia="en-US"/>
        </w:rPr>
      </w:pPr>
    </w:p>
    <w:p w14:paraId="2D1DC594" w14:textId="77777777" w:rsidR="00970F02" w:rsidRPr="006B2D4B" w:rsidRDefault="00970F02" w:rsidP="006B2D4B">
      <w:pPr>
        <w:contextualSpacing/>
        <w:jc w:val="center"/>
        <w:rPr>
          <w:lang w:eastAsia="en-US"/>
        </w:rPr>
      </w:pPr>
      <w:r w:rsidRPr="006B2D4B">
        <w:rPr>
          <w:lang w:eastAsia="en-US"/>
        </w:rPr>
        <w:t>...............................................</w:t>
      </w:r>
    </w:p>
    <w:p w14:paraId="6A318126" w14:textId="77777777" w:rsidR="00970F02" w:rsidRPr="006B2D4B" w:rsidRDefault="00970F02" w:rsidP="006B2D4B">
      <w:pPr>
        <w:contextualSpacing/>
        <w:jc w:val="center"/>
        <w:rPr>
          <w:lang w:eastAsia="en-US"/>
        </w:rPr>
      </w:pPr>
      <w:r w:rsidRPr="006B2D4B">
        <w:rPr>
          <w:lang w:eastAsia="en-US"/>
        </w:rPr>
        <w:t>(egzamino  vykdymo data)</w:t>
      </w:r>
    </w:p>
    <w:p w14:paraId="08348C77" w14:textId="77777777" w:rsidR="00970F02" w:rsidRPr="006B2D4B" w:rsidRDefault="00970F02" w:rsidP="006B2D4B">
      <w:pPr>
        <w:contextualSpacing/>
        <w:jc w:val="center"/>
        <w:rPr>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2268"/>
        <w:gridCol w:w="1559"/>
        <w:gridCol w:w="851"/>
        <w:gridCol w:w="708"/>
        <w:gridCol w:w="1134"/>
      </w:tblGrid>
      <w:tr w:rsidR="00970F02" w:rsidRPr="006B2D4B" w14:paraId="404F0673" w14:textId="77777777" w:rsidTr="000B7ECD">
        <w:tc>
          <w:tcPr>
            <w:tcW w:w="1129" w:type="dxa"/>
            <w:shd w:val="clear" w:color="auto" w:fill="auto"/>
          </w:tcPr>
          <w:p w14:paraId="62FD55CB" w14:textId="77777777" w:rsidR="00970F02" w:rsidRPr="006B2D4B" w:rsidRDefault="00970F02" w:rsidP="006B2D4B">
            <w:pPr>
              <w:contextualSpacing/>
              <w:rPr>
                <w:b/>
                <w:bCs/>
                <w:sz w:val="16"/>
                <w:szCs w:val="16"/>
                <w:lang w:eastAsia="en-US"/>
              </w:rPr>
            </w:pPr>
            <w:r w:rsidRPr="006B2D4B">
              <w:rPr>
                <w:b/>
                <w:bCs/>
                <w:sz w:val="16"/>
                <w:szCs w:val="16"/>
                <w:lang w:eastAsia="en-US"/>
              </w:rPr>
              <w:t>Sesija /</w:t>
            </w:r>
          </w:p>
          <w:p w14:paraId="2BD13F2A" w14:textId="77777777" w:rsidR="00970F02" w:rsidRPr="006B2D4B" w:rsidRDefault="00970F02" w:rsidP="006B2D4B">
            <w:pPr>
              <w:contextualSpacing/>
              <w:rPr>
                <w:b/>
                <w:bCs/>
                <w:sz w:val="16"/>
                <w:szCs w:val="16"/>
                <w:lang w:eastAsia="en-US"/>
              </w:rPr>
            </w:pPr>
            <w:r w:rsidRPr="006B2D4B">
              <w:rPr>
                <w:b/>
                <w:bCs/>
                <w:sz w:val="16"/>
                <w:szCs w:val="16"/>
                <w:lang w:eastAsia="en-US"/>
              </w:rPr>
              <w:t>dalyko egzaminas</w:t>
            </w:r>
          </w:p>
        </w:tc>
        <w:tc>
          <w:tcPr>
            <w:tcW w:w="1985" w:type="dxa"/>
            <w:shd w:val="clear" w:color="auto" w:fill="auto"/>
          </w:tcPr>
          <w:p w14:paraId="1570EFC0" w14:textId="77777777" w:rsidR="00970F02" w:rsidRPr="006B2D4B" w:rsidRDefault="00970F02" w:rsidP="006B2D4B">
            <w:pPr>
              <w:contextualSpacing/>
              <w:rPr>
                <w:b/>
                <w:bCs/>
                <w:sz w:val="16"/>
                <w:szCs w:val="16"/>
                <w:lang w:eastAsia="en-US"/>
              </w:rPr>
            </w:pPr>
            <w:r w:rsidRPr="006B2D4B">
              <w:rPr>
                <w:b/>
                <w:bCs/>
                <w:sz w:val="16"/>
                <w:szCs w:val="16"/>
                <w:lang w:eastAsia="en-US"/>
              </w:rPr>
              <w:t>Vardas, pavardė</w:t>
            </w:r>
          </w:p>
        </w:tc>
        <w:tc>
          <w:tcPr>
            <w:tcW w:w="2268" w:type="dxa"/>
          </w:tcPr>
          <w:p w14:paraId="28AA42C9" w14:textId="77777777" w:rsidR="00970F02" w:rsidRPr="006B2D4B" w:rsidRDefault="00970F02" w:rsidP="006B2D4B">
            <w:pPr>
              <w:contextualSpacing/>
              <w:rPr>
                <w:b/>
                <w:bCs/>
                <w:sz w:val="16"/>
                <w:szCs w:val="16"/>
                <w:lang w:eastAsia="en-US"/>
              </w:rPr>
            </w:pPr>
            <w:r w:rsidRPr="006B2D4B">
              <w:rPr>
                <w:b/>
                <w:bCs/>
                <w:sz w:val="16"/>
                <w:szCs w:val="16"/>
                <w:lang w:eastAsia="en-US"/>
              </w:rPr>
              <w:t>Pagrindinės darbovietės pavadinimas</w:t>
            </w:r>
          </w:p>
        </w:tc>
        <w:tc>
          <w:tcPr>
            <w:tcW w:w="1559" w:type="dxa"/>
          </w:tcPr>
          <w:p w14:paraId="26D0EF0A" w14:textId="77777777" w:rsidR="00970F02" w:rsidRPr="006B2D4B" w:rsidRDefault="00970F02" w:rsidP="006B2D4B">
            <w:pPr>
              <w:contextualSpacing/>
              <w:rPr>
                <w:b/>
                <w:bCs/>
                <w:sz w:val="16"/>
                <w:szCs w:val="16"/>
                <w:lang w:eastAsia="en-US"/>
              </w:rPr>
            </w:pPr>
            <w:r w:rsidRPr="006B2D4B">
              <w:rPr>
                <w:b/>
                <w:bCs/>
                <w:sz w:val="16"/>
                <w:szCs w:val="16"/>
                <w:lang w:eastAsia="en-US"/>
              </w:rPr>
              <w:t xml:space="preserve">Egzamino metu vykdytos funkcijos </w:t>
            </w:r>
            <w:r w:rsidRPr="006B2D4B">
              <w:rPr>
                <w:b/>
                <w:bCs/>
                <w:sz w:val="12"/>
                <w:szCs w:val="12"/>
                <w:lang w:eastAsia="en-US"/>
              </w:rPr>
              <w:t>(vyresnysis vykdytojas, administratorius, vykdytojas)</w:t>
            </w:r>
          </w:p>
        </w:tc>
        <w:tc>
          <w:tcPr>
            <w:tcW w:w="851" w:type="dxa"/>
            <w:shd w:val="clear" w:color="auto" w:fill="auto"/>
          </w:tcPr>
          <w:p w14:paraId="386F1A31" w14:textId="77777777" w:rsidR="00970F02" w:rsidRPr="006B2D4B" w:rsidRDefault="00970F02" w:rsidP="006B2D4B">
            <w:pPr>
              <w:contextualSpacing/>
              <w:rPr>
                <w:b/>
                <w:bCs/>
                <w:sz w:val="16"/>
                <w:szCs w:val="16"/>
                <w:lang w:eastAsia="en-US"/>
              </w:rPr>
            </w:pPr>
            <w:r w:rsidRPr="006B2D4B">
              <w:rPr>
                <w:b/>
                <w:bCs/>
                <w:sz w:val="16"/>
                <w:szCs w:val="16"/>
                <w:lang w:eastAsia="en-US"/>
              </w:rPr>
              <w:t>Vykdytų funkcijų valandų skaičius</w:t>
            </w:r>
          </w:p>
        </w:tc>
        <w:tc>
          <w:tcPr>
            <w:tcW w:w="708" w:type="dxa"/>
            <w:shd w:val="clear" w:color="auto" w:fill="auto"/>
          </w:tcPr>
          <w:p w14:paraId="194C8F30" w14:textId="77777777" w:rsidR="00970F02" w:rsidRPr="006B2D4B" w:rsidRDefault="00970F02" w:rsidP="006B2D4B">
            <w:pPr>
              <w:contextualSpacing/>
              <w:rPr>
                <w:b/>
                <w:bCs/>
                <w:sz w:val="16"/>
                <w:szCs w:val="16"/>
                <w:lang w:eastAsia="en-US"/>
              </w:rPr>
            </w:pPr>
            <w:r w:rsidRPr="006B2D4B">
              <w:rPr>
                <w:b/>
                <w:bCs/>
                <w:sz w:val="16"/>
                <w:szCs w:val="16"/>
                <w:lang w:eastAsia="en-US"/>
              </w:rPr>
              <w:t>Įkainis</w:t>
            </w:r>
          </w:p>
          <w:p w14:paraId="291DDF8F" w14:textId="77777777" w:rsidR="00970F02" w:rsidRPr="006B2D4B" w:rsidRDefault="00970F02" w:rsidP="006B2D4B">
            <w:pPr>
              <w:contextualSpacing/>
              <w:rPr>
                <w:b/>
                <w:bCs/>
                <w:sz w:val="14"/>
                <w:szCs w:val="14"/>
                <w:lang w:eastAsia="en-US"/>
              </w:rPr>
            </w:pPr>
            <w:r w:rsidRPr="006B2D4B">
              <w:rPr>
                <w:b/>
                <w:bCs/>
                <w:sz w:val="14"/>
                <w:szCs w:val="14"/>
                <w:lang w:eastAsia="en-US"/>
              </w:rPr>
              <w:t>Eur/val.</w:t>
            </w:r>
          </w:p>
        </w:tc>
        <w:tc>
          <w:tcPr>
            <w:tcW w:w="1134" w:type="dxa"/>
            <w:shd w:val="clear" w:color="auto" w:fill="auto"/>
          </w:tcPr>
          <w:p w14:paraId="7A16307C" w14:textId="77777777" w:rsidR="00970F02" w:rsidRPr="006B2D4B" w:rsidRDefault="00970F02" w:rsidP="006B2D4B">
            <w:pPr>
              <w:contextualSpacing/>
              <w:rPr>
                <w:b/>
                <w:bCs/>
                <w:sz w:val="16"/>
                <w:szCs w:val="16"/>
                <w:lang w:eastAsia="en-US"/>
              </w:rPr>
            </w:pPr>
            <w:r w:rsidRPr="006B2D4B">
              <w:rPr>
                <w:b/>
                <w:bCs/>
                <w:sz w:val="16"/>
                <w:szCs w:val="16"/>
                <w:lang w:eastAsia="en-US"/>
              </w:rPr>
              <w:t>Darbo užmokestis (Eur)</w:t>
            </w:r>
          </w:p>
        </w:tc>
      </w:tr>
      <w:tr w:rsidR="00970F02" w:rsidRPr="006B2D4B" w14:paraId="70491B5C" w14:textId="77777777" w:rsidTr="000B7ECD">
        <w:tc>
          <w:tcPr>
            <w:tcW w:w="1129" w:type="dxa"/>
            <w:shd w:val="clear" w:color="auto" w:fill="auto"/>
          </w:tcPr>
          <w:p w14:paraId="32B737EE" w14:textId="77777777" w:rsidR="00970F02" w:rsidRPr="006B2D4B" w:rsidRDefault="00970F02" w:rsidP="006B2D4B">
            <w:pPr>
              <w:contextualSpacing/>
              <w:jc w:val="center"/>
              <w:rPr>
                <w:lang w:eastAsia="en-US"/>
              </w:rPr>
            </w:pPr>
            <w:r w:rsidRPr="006B2D4B">
              <w:rPr>
                <w:lang w:eastAsia="en-US"/>
              </w:rPr>
              <w:t>1</w:t>
            </w:r>
          </w:p>
        </w:tc>
        <w:tc>
          <w:tcPr>
            <w:tcW w:w="1985" w:type="dxa"/>
            <w:shd w:val="clear" w:color="auto" w:fill="auto"/>
          </w:tcPr>
          <w:p w14:paraId="39E96A3F" w14:textId="77777777" w:rsidR="00970F02" w:rsidRPr="006B2D4B" w:rsidRDefault="00970F02" w:rsidP="006B2D4B">
            <w:pPr>
              <w:contextualSpacing/>
              <w:jc w:val="center"/>
              <w:rPr>
                <w:lang w:eastAsia="en-US"/>
              </w:rPr>
            </w:pPr>
            <w:r w:rsidRPr="006B2D4B">
              <w:rPr>
                <w:lang w:eastAsia="en-US"/>
              </w:rPr>
              <w:t>2</w:t>
            </w:r>
          </w:p>
        </w:tc>
        <w:tc>
          <w:tcPr>
            <w:tcW w:w="2268" w:type="dxa"/>
          </w:tcPr>
          <w:p w14:paraId="4A9DC2FC" w14:textId="77777777" w:rsidR="00970F02" w:rsidRPr="006B2D4B" w:rsidRDefault="00970F02" w:rsidP="006B2D4B">
            <w:pPr>
              <w:contextualSpacing/>
              <w:jc w:val="center"/>
              <w:rPr>
                <w:lang w:eastAsia="en-US"/>
              </w:rPr>
            </w:pPr>
            <w:r w:rsidRPr="006B2D4B">
              <w:rPr>
                <w:lang w:eastAsia="en-US"/>
              </w:rPr>
              <w:t>3</w:t>
            </w:r>
          </w:p>
        </w:tc>
        <w:tc>
          <w:tcPr>
            <w:tcW w:w="1559" w:type="dxa"/>
          </w:tcPr>
          <w:p w14:paraId="214E1E0F" w14:textId="77777777" w:rsidR="00970F02" w:rsidRPr="006B2D4B" w:rsidRDefault="00970F02" w:rsidP="006B2D4B">
            <w:pPr>
              <w:contextualSpacing/>
              <w:jc w:val="center"/>
              <w:rPr>
                <w:lang w:eastAsia="en-US"/>
              </w:rPr>
            </w:pPr>
            <w:r w:rsidRPr="006B2D4B">
              <w:rPr>
                <w:lang w:eastAsia="en-US"/>
              </w:rPr>
              <w:t>4</w:t>
            </w:r>
          </w:p>
        </w:tc>
        <w:tc>
          <w:tcPr>
            <w:tcW w:w="851" w:type="dxa"/>
            <w:shd w:val="clear" w:color="auto" w:fill="auto"/>
          </w:tcPr>
          <w:p w14:paraId="4CE3D720" w14:textId="77777777" w:rsidR="00970F02" w:rsidRPr="006B2D4B" w:rsidRDefault="00970F02" w:rsidP="006B2D4B">
            <w:pPr>
              <w:contextualSpacing/>
              <w:jc w:val="center"/>
              <w:rPr>
                <w:lang w:eastAsia="en-US"/>
              </w:rPr>
            </w:pPr>
            <w:r w:rsidRPr="006B2D4B">
              <w:rPr>
                <w:lang w:eastAsia="en-US"/>
              </w:rPr>
              <w:t>5</w:t>
            </w:r>
          </w:p>
        </w:tc>
        <w:tc>
          <w:tcPr>
            <w:tcW w:w="708" w:type="dxa"/>
            <w:shd w:val="clear" w:color="auto" w:fill="auto"/>
          </w:tcPr>
          <w:p w14:paraId="5BC0D0DF" w14:textId="77777777" w:rsidR="00970F02" w:rsidRPr="006B2D4B" w:rsidRDefault="00970F02" w:rsidP="006B2D4B">
            <w:pPr>
              <w:contextualSpacing/>
              <w:jc w:val="center"/>
              <w:rPr>
                <w:lang w:eastAsia="en-US"/>
              </w:rPr>
            </w:pPr>
            <w:r w:rsidRPr="006B2D4B">
              <w:rPr>
                <w:lang w:eastAsia="en-US"/>
              </w:rPr>
              <w:t>6</w:t>
            </w:r>
          </w:p>
        </w:tc>
        <w:tc>
          <w:tcPr>
            <w:tcW w:w="1134" w:type="dxa"/>
            <w:shd w:val="clear" w:color="auto" w:fill="auto"/>
          </w:tcPr>
          <w:p w14:paraId="0F19EA95" w14:textId="77777777" w:rsidR="00970F02" w:rsidRPr="006B2D4B" w:rsidRDefault="00970F02" w:rsidP="006B2D4B">
            <w:pPr>
              <w:contextualSpacing/>
              <w:jc w:val="center"/>
              <w:rPr>
                <w:lang w:eastAsia="en-US"/>
              </w:rPr>
            </w:pPr>
            <w:r w:rsidRPr="006B2D4B">
              <w:rPr>
                <w:lang w:eastAsia="en-US"/>
              </w:rPr>
              <w:t>7</w:t>
            </w:r>
          </w:p>
        </w:tc>
      </w:tr>
      <w:tr w:rsidR="00970F02" w:rsidRPr="006B2D4B" w14:paraId="510D154B" w14:textId="77777777" w:rsidTr="000B7ECD">
        <w:tc>
          <w:tcPr>
            <w:tcW w:w="1129" w:type="dxa"/>
            <w:shd w:val="clear" w:color="auto" w:fill="auto"/>
          </w:tcPr>
          <w:p w14:paraId="3FAB9255" w14:textId="77777777" w:rsidR="00970F02" w:rsidRPr="006B2D4B" w:rsidRDefault="00970F02" w:rsidP="006B2D4B">
            <w:pPr>
              <w:contextualSpacing/>
              <w:jc w:val="center"/>
              <w:rPr>
                <w:lang w:eastAsia="en-US"/>
              </w:rPr>
            </w:pPr>
          </w:p>
        </w:tc>
        <w:tc>
          <w:tcPr>
            <w:tcW w:w="1985" w:type="dxa"/>
            <w:shd w:val="clear" w:color="auto" w:fill="auto"/>
          </w:tcPr>
          <w:p w14:paraId="34198EBC" w14:textId="77777777" w:rsidR="00970F02" w:rsidRPr="006B2D4B" w:rsidRDefault="00970F02" w:rsidP="006B2D4B">
            <w:pPr>
              <w:contextualSpacing/>
              <w:jc w:val="center"/>
              <w:rPr>
                <w:lang w:eastAsia="en-US"/>
              </w:rPr>
            </w:pPr>
          </w:p>
        </w:tc>
        <w:tc>
          <w:tcPr>
            <w:tcW w:w="2268" w:type="dxa"/>
          </w:tcPr>
          <w:p w14:paraId="5385A38E" w14:textId="77777777" w:rsidR="00970F02" w:rsidRPr="006B2D4B" w:rsidRDefault="00970F02" w:rsidP="006B2D4B">
            <w:pPr>
              <w:contextualSpacing/>
              <w:jc w:val="center"/>
              <w:rPr>
                <w:lang w:eastAsia="en-US"/>
              </w:rPr>
            </w:pPr>
          </w:p>
        </w:tc>
        <w:tc>
          <w:tcPr>
            <w:tcW w:w="1559" w:type="dxa"/>
          </w:tcPr>
          <w:p w14:paraId="48E04F95" w14:textId="77777777" w:rsidR="00970F02" w:rsidRPr="006B2D4B" w:rsidRDefault="00970F02" w:rsidP="006B2D4B">
            <w:pPr>
              <w:contextualSpacing/>
              <w:jc w:val="center"/>
              <w:rPr>
                <w:lang w:eastAsia="en-US"/>
              </w:rPr>
            </w:pPr>
          </w:p>
        </w:tc>
        <w:tc>
          <w:tcPr>
            <w:tcW w:w="851" w:type="dxa"/>
            <w:shd w:val="clear" w:color="auto" w:fill="auto"/>
          </w:tcPr>
          <w:p w14:paraId="6059EE87" w14:textId="77777777" w:rsidR="00970F02" w:rsidRPr="006B2D4B" w:rsidRDefault="00970F02" w:rsidP="006B2D4B">
            <w:pPr>
              <w:contextualSpacing/>
              <w:jc w:val="center"/>
              <w:rPr>
                <w:lang w:eastAsia="en-US"/>
              </w:rPr>
            </w:pPr>
          </w:p>
        </w:tc>
        <w:tc>
          <w:tcPr>
            <w:tcW w:w="708" w:type="dxa"/>
            <w:shd w:val="clear" w:color="auto" w:fill="auto"/>
          </w:tcPr>
          <w:p w14:paraId="7520A45B" w14:textId="77777777" w:rsidR="00970F02" w:rsidRPr="006B2D4B" w:rsidRDefault="00970F02" w:rsidP="006B2D4B">
            <w:pPr>
              <w:contextualSpacing/>
              <w:jc w:val="center"/>
              <w:rPr>
                <w:lang w:eastAsia="en-US"/>
              </w:rPr>
            </w:pPr>
          </w:p>
        </w:tc>
        <w:tc>
          <w:tcPr>
            <w:tcW w:w="1134" w:type="dxa"/>
            <w:shd w:val="clear" w:color="auto" w:fill="auto"/>
          </w:tcPr>
          <w:p w14:paraId="004E25CF" w14:textId="77777777" w:rsidR="00970F02" w:rsidRPr="006B2D4B" w:rsidRDefault="00970F02" w:rsidP="006B2D4B">
            <w:pPr>
              <w:contextualSpacing/>
              <w:jc w:val="center"/>
              <w:rPr>
                <w:lang w:eastAsia="en-US"/>
              </w:rPr>
            </w:pPr>
          </w:p>
        </w:tc>
      </w:tr>
      <w:tr w:rsidR="00970F02" w:rsidRPr="006B2D4B" w14:paraId="2E84014C" w14:textId="77777777" w:rsidTr="000B7ECD">
        <w:tc>
          <w:tcPr>
            <w:tcW w:w="1129" w:type="dxa"/>
            <w:shd w:val="clear" w:color="auto" w:fill="auto"/>
          </w:tcPr>
          <w:p w14:paraId="7DF6C6B2" w14:textId="77777777" w:rsidR="00970F02" w:rsidRPr="006B2D4B" w:rsidRDefault="00970F02" w:rsidP="006B2D4B">
            <w:pPr>
              <w:contextualSpacing/>
              <w:jc w:val="center"/>
              <w:rPr>
                <w:lang w:eastAsia="en-US"/>
              </w:rPr>
            </w:pPr>
          </w:p>
        </w:tc>
        <w:tc>
          <w:tcPr>
            <w:tcW w:w="1985" w:type="dxa"/>
            <w:shd w:val="clear" w:color="auto" w:fill="auto"/>
          </w:tcPr>
          <w:p w14:paraId="7F318AD4" w14:textId="77777777" w:rsidR="00970F02" w:rsidRPr="006B2D4B" w:rsidRDefault="00970F02" w:rsidP="006B2D4B">
            <w:pPr>
              <w:contextualSpacing/>
              <w:jc w:val="center"/>
              <w:rPr>
                <w:lang w:eastAsia="en-US"/>
              </w:rPr>
            </w:pPr>
          </w:p>
        </w:tc>
        <w:tc>
          <w:tcPr>
            <w:tcW w:w="2268" w:type="dxa"/>
          </w:tcPr>
          <w:p w14:paraId="2AA7E413" w14:textId="77777777" w:rsidR="00970F02" w:rsidRPr="006B2D4B" w:rsidRDefault="00970F02" w:rsidP="006B2D4B">
            <w:pPr>
              <w:contextualSpacing/>
              <w:jc w:val="center"/>
              <w:rPr>
                <w:lang w:eastAsia="en-US"/>
              </w:rPr>
            </w:pPr>
          </w:p>
        </w:tc>
        <w:tc>
          <w:tcPr>
            <w:tcW w:w="1559" w:type="dxa"/>
          </w:tcPr>
          <w:p w14:paraId="05E56687" w14:textId="77777777" w:rsidR="00970F02" w:rsidRPr="006B2D4B" w:rsidRDefault="00970F02" w:rsidP="006B2D4B">
            <w:pPr>
              <w:contextualSpacing/>
              <w:jc w:val="center"/>
              <w:rPr>
                <w:lang w:eastAsia="en-US"/>
              </w:rPr>
            </w:pPr>
          </w:p>
        </w:tc>
        <w:tc>
          <w:tcPr>
            <w:tcW w:w="851" w:type="dxa"/>
            <w:shd w:val="clear" w:color="auto" w:fill="auto"/>
          </w:tcPr>
          <w:p w14:paraId="4C9AF04E" w14:textId="77777777" w:rsidR="00970F02" w:rsidRPr="006B2D4B" w:rsidRDefault="00970F02" w:rsidP="006B2D4B">
            <w:pPr>
              <w:contextualSpacing/>
              <w:jc w:val="center"/>
              <w:rPr>
                <w:lang w:eastAsia="en-US"/>
              </w:rPr>
            </w:pPr>
          </w:p>
        </w:tc>
        <w:tc>
          <w:tcPr>
            <w:tcW w:w="708" w:type="dxa"/>
            <w:shd w:val="clear" w:color="auto" w:fill="auto"/>
          </w:tcPr>
          <w:p w14:paraId="6F01C111" w14:textId="77777777" w:rsidR="00970F02" w:rsidRPr="006B2D4B" w:rsidRDefault="00970F02" w:rsidP="006B2D4B">
            <w:pPr>
              <w:contextualSpacing/>
              <w:jc w:val="center"/>
              <w:rPr>
                <w:lang w:eastAsia="en-US"/>
              </w:rPr>
            </w:pPr>
          </w:p>
        </w:tc>
        <w:tc>
          <w:tcPr>
            <w:tcW w:w="1134" w:type="dxa"/>
            <w:shd w:val="clear" w:color="auto" w:fill="auto"/>
          </w:tcPr>
          <w:p w14:paraId="3158961F" w14:textId="77777777" w:rsidR="00970F02" w:rsidRPr="006B2D4B" w:rsidRDefault="00970F02" w:rsidP="006B2D4B">
            <w:pPr>
              <w:contextualSpacing/>
              <w:jc w:val="center"/>
              <w:rPr>
                <w:lang w:eastAsia="en-US"/>
              </w:rPr>
            </w:pPr>
          </w:p>
        </w:tc>
      </w:tr>
      <w:tr w:rsidR="00970F02" w:rsidRPr="006B2D4B" w14:paraId="04F72675" w14:textId="77777777" w:rsidTr="000B7ECD">
        <w:tc>
          <w:tcPr>
            <w:tcW w:w="1129" w:type="dxa"/>
            <w:shd w:val="clear" w:color="auto" w:fill="auto"/>
          </w:tcPr>
          <w:p w14:paraId="193298E1" w14:textId="77777777" w:rsidR="00970F02" w:rsidRPr="006B2D4B" w:rsidRDefault="00970F02" w:rsidP="006B2D4B">
            <w:pPr>
              <w:contextualSpacing/>
              <w:jc w:val="center"/>
              <w:rPr>
                <w:lang w:eastAsia="en-US"/>
              </w:rPr>
            </w:pPr>
          </w:p>
        </w:tc>
        <w:tc>
          <w:tcPr>
            <w:tcW w:w="1985" w:type="dxa"/>
            <w:shd w:val="clear" w:color="auto" w:fill="auto"/>
          </w:tcPr>
          <w:p w14:paraId="451FA22A" w14:textId="77777777" w:rsidR="00970F02" w:rsidRPr="006B2D4B" w:rsidRDefault="00970F02" w:rsidP="006B2D4B">
            <w:pPr>
              <w:contextualSpacing/>
              <w:jc w:val="center"/>
              <w:rPr>
                <w:lang w:eastAsia="en-US"/>
              </w:rPr>
            </w:pPr>
          </w:p>
        </w:tc>
        <w:tc>
          <w:tcPr>
            <w:tcW w:w="2268" w:type="dxa"/>
          </w:tcPr>
          <w:p w14:paraId="699D0876" w14:textId="77777777" w:rsidR="00970F02" w:rsidRPr="006B2D4B" w:rsidRDefault="00970F02" w:rsidP="006B2D4B">
            <w:pPr>
              <w:contextualSpacing/>
              <w:jc w:val="center"/>
              <w:rPr>
                <w:lang w:eastAsia="en-US"/>
              </w:rPr>
            </w:pPr>
          </w:p>
        </w:tc>
        <w:tc>
          <w:tcPr>
            <w:tcW w:w="1559" w:type="dxa"/>
          </w:tcPr>
          <w:p w14:paraId="485A8397" w14:textId="77777777" w:rsidR="00970F02" w:rsidRPr="006B2D4B" w:rsidRDefault="00970F02" w:rsidP="006B2D4B">
            <w:pPr>
              <w:contextualSpacing/>
              <w:jc w:val="center"/>
              <w:rPr>
                <w:lang w:eastAsia="en-US"/>
              </w:rPr>
            </w:pPr>
          </w:p>
        </w:tc>
        <w:tc>
          <w:tcPr>
            <w:tcW w:w="851" w:type="dxa"/>
            <w:shd w:val="clear" w:color="auto" w:fill="auto"/>
          </w:tcPr>
          <w:p w14:paraId="537700D6" w14:textId="77777777" w:rsidR="00970F02" w:rsidRPr="006B2D4B" w:rsidRDefault="00970F02" w:rsidP="006B2D4B">
            <w:pPr>
              <w:contextualSpacing/>
              <w:jc w:val="center"/>
              <w:rPr>
                <w:lang w:eastAsia="en-US"/>
              </w:rPr>
            </w:pPr>
          </w:p>
        </w:tc>
        <w:tc>
          <w:tcPr>
            <w:tcW w:w="708" w:type="dxa"/>
            <w:shd w:val="clear" w:color="auto" w:fill="auto"/>
          </w:tcPr>
          <w:p w14:paraId="1767E870" w14:textId="77777777" w:rsidR="00970F02" w:rsidRPr="006B2D4B" w:rsidRDefault="00970F02" w:rsidP="006B2D4B">
            <w:pPr>
              <w:contextualSpacing/>
              <w:jc w:val="center"/>
              <w:rPr>
                <w:lang w:eastAsia="en-US"/>
              </w:rPr>
            </w:pPr>
          </w:p>
        </w:tc>
        <w:tc>
          <w:tcPr>
            <w:tcW w:w="1134" w:type="dxa"/>
            <w:shd w:val="clear" w:color="auto" w:fill="auto"/>
          </w:tcPr>
          <w:p w14:paraId="084CCA3C" w14:textId="77777777" w:rsidR="00970F02" w:rsidRPr="006B2D4B" w:rsidRDefault="00970F02" w:rsidP="006B2D4B">
            <w:pPr>
              <w:contextualSpacing/>
              <w:jc w:val="center"/>
              <w:rPr>
                <w:lang w:eastAsia="en-US"/>
              </w:rPr>
            </w:pPr>
          </w:p>
        </w:tc>
      </w:tr>
      <w:tr w:rsidR="00970F02" w:rsidRPr="006B2D4B" w14:paraId="13390FE6" w14:textId="77777777" w:rsidTr="000B7ECD">
        <w:tc>
          <w:tcPr>
            <w:tcW w:w="1129" w:type="dxa"/>
            <w:shd w:val="clear" w:color="auto" w:fill="auto"/>
          </w:tcPr>
          <w:p w14:paraId="188B14FF" w14:textId="77777777" w:rsidR="00970F02" w:rsidRPr="006B2D4B" w:rsidRDefault="00970F02" w:rsidP="006B2D4B">
            <w:pPr>
              <w:contextualSpacing/>
              <w:jc w:val="center"/>
              <w:rPr>
                <w:lang w:eastAsia="en-US"/>
              </w:rPr>
            </w:pPr>
          </w:p>
        </w:tc>
        <w:tc>
          <w:tcPr>
            <w:tcW w:w="1985" w:type="dxa"/>
            <w:shd w:val="clear" w:color="auto" w:fill="auto"/>
          </w:tcPr>
          <w:p w14:paraId="2AB140D9" w14:textId="77777777" w:rsidR="00970F02" w:rsidRPr="006B2D4B" w:rsidRDefault="00970F02" w:rsidP="006B2D4B">
            <w:pPr>
              <w:contextualSpacing/>
              <w:jc w:val="center"/>
              <w:rPr>
                <w:lang w:eastAsia="en-US"/>
              </w:rPr>
            </w:pPr>
          </w:p>
        </w:tc>
        <w:tc>
          <w:tcPr>
            <w:tcW w:w="2268" w:type="dxa"/>
          </w:tcPr>
          <w:p w14:paraId="6D117FE0" w14:textId="77777777" w:rsidR="00970F02" w:rsidRPr="006B2D4B" w:rsidRDefault="00970F02" w:rsidP="006B2D4B">
            <w:pPr>
              <w:contextualSpacing/>
              <w:jc w:val="center"/>
              <w:rPr>
                <w:lang w:eastAsia="en-US"/>
              </w:rPr>
            </w:pPr>
          </w:p>
        </w:tc>
        <w:tc>
          <w:tcPr>
            <w:tcW w:w="1559" w:type="dxa"/>
          </w:tcPr>
          <w:p w14:paraId="5363934F" w14:textId="77777777" w:rsidR="00970F02" w:rsidRPr="006B2D4B" w:rsidRDefault="00970F02" w:rsidP="006B2D4B">
            <w:pPr>
              <w:contextualSpacing/>
              <w:jc w:val="center"/>
              <w:rPr>
                <w:lang w:eastAsia="en-US"/>
              </w:rPr>
            </w:pPr>
          </w:p>
        </w:tc>
        <w:tc>
          <w:tcPr>
            <w:tcW w:w="851" w:type="dxa"/>
            <w:shd w:val="clear" w:color="auto" w:fill="auto"/>
          </w:tcPr>
          <w:p w14:paraId="2E171CEF" w14:textId="77777777" w:rsidR="00970F02" w:rsidRPr="006B2D4B" w:rsidRDefault="00970F02" w:rsidP="006B2D4B">
            <w:pPr>
              <w:contextualSpacing/>
              <w:jc w:val="center"/>
              <w:rPr>
                <w:lang w:eastAsia="en-US"/>
              </w:rPr>
            </w:pPr>
          </w:p>
        </w:tc>
        <w:tc>
          <w:tcPr>
            <w:tcW w:w="708" w:type="dxa"/>
            <w:shd w:val="clear" w:color="auto" w:fill="auto"/>
          </w:tcPr>
          <w:p w14:paraId="47BDD17E" w14:textId="77777777" w:rsidR="00970F02" w:rsidRPr="006B2D4B" w:rsidRDefault="00970F02" w:rsidP="006B2D4B">
            <w:pPr>
              <w:contextualSpacing/>
              <w:jc w:val="center"/>
              <w:rPr>
                <w:lang w:eastAsia="en-US"/>
              </w:rPr>
            </w:pPr>
          </w:p>
        </w:tc>
        <w:tc>
          <w:tcPr>
            <w:tcW w:w="1134" w:type="dxa"/>
            <w:shd w:val="clear" w:color="auto" w:fill="auto"/>
          </w:tcPr>
          <w:p w14:paraId="581AB25A" w14:textId="77777777" w:rsidR="00970F02" w:rsidRPr="006B2D4B" w:rsidRDefault="00970F02" w:rsidP="006B2D4B">
            <w:pPr>
              <w:contextualSpacing/>
              <w:jc w:val="center"/>
              <w:rPr>
                <w:lang w:eastAsia="en-US"/>
              </w:rPr>
            </w:pPr>
          </w:p>
        </w:tc>
      </w:tr>
      <w:tr w:rsidR="00970F02" w:rsidRPr="006B2D4B" w14:paraId="665CB723" w14:textId="77777777" w:rsidTr="000B7ECD">
        <w:tc>
          <w:tcPr>
            <w:tcW w:w="1129" w:type="dxa"/>
            <w:shd w:val="clear" w:color="auto" w:fill="auto"/>
          </w:tcPr>
          <w:p w14:paraId="0F239EEF" w14:textId="77777777" w:rsidR="00970F02" w:rsidRPr="006B2D4B" w:rsidRDefault="00970F02" w:rsidP="006B2D4B">
            <w:pPr>
              <w:contextualSpacing/>
              <w:jc w:val="center"/>
              <w:rPr>
                <w:lang w:eastAsia="en-US"/>
              </w:rPr>
            </w:pPr>
          </w:p>
        </w:tc>
        <w:tc>
          <w:tcPr>
            <w:tcW w:w="1985" w:type="dxa"/>
            <w:shd w:val="clear" w:color="auto" w:fill="auto"/>
          </w:tcPr>
          <w:p w14:paraId="6494E906" w14:textId="77777777" w:rsidR="00970F02" w:rsidRPr="006B2D4B" w:rsidRDefault="00970F02" w:rsidP="006B2D4B">
            <w:pPr>
              <w:contextualSpacing/>
              <w:jc w:val="center"/>
              <w:rPr>
                <w:lang w:eastAsia="en-US"/>
              </w:rPr>
            </w:pPr>
          </w:p>
        </w:tc>
        <w:tc>
          <w:tcPr>
            <w:tcW w:w="2268" w:type="dxa"/>
          </w:tcPr>
          <w:p w14:paraId="3FBC7FD8" w14:textId="77777777" w:rsidR="00970F02" w:rsidRPr="006B2D4B" w:rsidRDefault="00970F02" w:rsidP="006B2D4B">
            <w:pPr>
              <w:contextualSpacing/>
              <w:jc w:val="center"/>
              <w:rPr>
                <w:lang w:eastAsia="en-US"/>
              </w:rPr>
            </w:pPr>
          </w:p>
        </w:tc>
        <w:tc>
          <w:tcPr>
            <w:tcW w:w="1559" w:type="dxa"/>
          </w:tcPr>
          <w:p w14:paraId="3D815431" w14:textId="77777777" w:rsidR="00970F02" w:rsidRPr="006B2D4B" w:rsidRDefault="00970F02" w:rsidP="006B2D4B">
            <w:pPr>
              <w:contextualSpacing/>
              <w:jc w:val="center"/>
              <w:rPr>
                <w:lang w:eastAsia="en-US"/>
              </w:rPr>
            </w:pPr>
          </w:p>
        </w:tc>
        <w:tc>
          <w:tcPr>
            <w:tcW w:w="851" w:type="dxa"/>
            <w:shd w:val="clear" w:color="auto" w:fill="auto"/>
          </w:tcPr>
          <w:p w14:paraId="2587A3A9" w14:textId="77777777" w:rsidR="00970F02" w:rsidRPr="006B2D4B" w:rsidRDefault="00970F02" w:rsidP="006B2D4B">
            <w:pPr>
              <w:contextualSpacing/>
              <w:jc w:val="center"/>
              <w:rPr>
                <w:lang w:eastAsia="en-US"/>
              </w:rPr>
            </w:pPr>
          </w:p>
        </w:tc>
        <w:tc>
          <w:tcPr>
            <w:tcW w:w="708" w:type="dxa"/>
            <w:shd w:val="clear" w:color="auto" w:fill="auto"/>
          </w:tcPr>
          <w:p w14:paraId="5F9E4549" w14:textId="77777777" w:rsidR="00970F02" w:rsidRPr="006B2D4B" w:rsidRDefault="00970F02" w:rsidP="006B2D4B">
            <w:pPr>
              <w:contextualSpacing/>
              <w:jc w:val="center"/>
              <w:rPr>
                <w:lang w:eastAsia="en-US"/>
              </w:rPr>
            </w:pPr>
          </w:p>
        </w:tc>
        <w:tc>
          <w:tcPr>
            <w:tcW w:w="1134" w:type="dxa"/>
            <w:shd w:val="clear" w:color="auto" w:fill="auto"/>
          </w:tcPr>
          <w:p w14:paraId="55D4F8E1" w14:textId="77777777" w:rsidR="00970F02" w:rsidRPr="006B2D4B" w:rsidRDefault="00970F02" w:rsidP="006B2D4B">
            <w:pPr>
              <w:contextualSpacing/>
              <w:jc w:val="center"/>
              <w:rPr>
                <w:lang w:eastAsia="en-US"/>
              </w:rPr>
            </w:pPr>
          </w:p>
        </w:tc>
      </w:tr>
      <w:tr w:rsidR="00970F02" w:rsidRPr="006B2D4B" w14:paraId="6B4055D4" w14:textId="77777777" w:rsidTr="000B7ECD">
        <w:tc>
          <w:tcPr>
            <w:tcW w:w="3114" w:type="dxa"/>
            <w:gridSpan w:val="2"/>
            <w:shd w:val="clear" w:color="auto" w:fill="auto"/>
          </w:tcPr>
          <w:p w14:paraId="0DEAAD08" w14:textId="77777777" w:rsidR="00970F02" w:rsidRPr="006B2D4B" w:rsidRDefault="00970F02" w:rsidP="006B2D4B">
            <w:pPr>
              <w:contextualSpacing/>
              <w:rPr>
                <w:sz w:val="24"/>
                <w:szCs w:val="24"/>
                <w:lang w:eastAsia="en-US"/>
              </w:rPr>
            </w:pPr>
            <w:r w:rsidRPr="006B2D4B">
              <w:rPr>
                <w:sz w:val="24"/>
                <w:szCs w:val="24"/>
                <w:lang w:eastAsia="en-US"/>
              </w:rPr>
              <w:t>Iš viso</w:t>
            </w:r>
          </w:p>
        </w:tc>
        <w:tc>
          <w:tcPr>
            <w:tcW w:w="2268" w:type="dxa"/>
          </w:tcPr>
          <w:p w14:paraId="7EFCD449" w14:textId="77777777" w:rsidR="00970F02" w:rsidRPr="006B2D4B" w:rsidRDefault="00970F02" w:rsidP="006B2D4B">
            <w:pPr>
              <w:contextualSpacing/>
              <w:jc w:val="center"/>
              <w:rPr>
                <w:sz w:val="24"/>
                <w:szCs w:val="24"/>
                <w:lang w:eastAsia="en-US"/>
              </w:rPr>
            </w:pPr>
            <w:r w:rsidRPr="006B2D4B">
              <w:rPr>
                <w:sz w:val="24"/>
                <w:szCs w:val="24"/>
                <w:lang w:eastAsia="en-US"/>
              </w:rPr>
              <w:t>x</w:t>
            </w:r>
          </w:p>
        </w:tc>
        <w:tc>
          <w:tcPr>
            <w:tcW w:w="1559" w:type="dxa"/>
          </w:tcPr>
          <w:p w14:paraId="4468E031" w14:textId="77777777" w:rsidR="00970F02" w:rsidRPr="006B2D4B" w:rsidRDefault="00970F02" w:rsidP="006B2D4B">
            <w:pPr>
              <w:contextualSpacing/>
              <w:jc w:val="center"/>
              <w:rPr>
                <w:sz w:val="24"/>
                <w:szCs w:val="24"/>
                <w:lang w:eastAsia="en-US"/>
              </w:rPr>
            </w:pPr>
            <w:r w:rsidRPr="006B2D4B">
              <w:rPr>
                <w:sz w:val="24"/>
                <w:szCs w:val="24"/>
                <w:lang w:eastAsia="en-US"/>
              </w:rPr>
              <w:t>x</w:t>
            </w:r>
          </w:p>
        </w:tc>
        <w:tc>
          <w:tcPr>
            <w:tcW w:w="851" w:type="dxa"/>
            <w:shd w:val="clear" w:color="auto" w:fill="auto"/>
          </w:tcPr>
          <w:p w14:paraId="066D9265" w14:textId="77777777" w:rsidR="00970F02" w:rsidRPr="006B2D4B" w:rsidRDefault="00970F02" w:rsidP="006B2D4B">
            <w:pPr>
              <w:contextualSpacing/>
              <w:jc w:val="center"/>
              <w:rPr>
                <w:sz w:val="24"/>
                <w:szCs w:val="24"/>
                <w:lang w:eastAsia="en-US"/>
              </w:rPr>
            </w:pPr>
          </w:p>
        </w:tc>
        <w:tc>
          <w:tcPr>
            <w:tcW w:w="708" w:type="dxa"/>
            <w:shd w:val="clear" w:color="auto" w:fill="auto"/>
          </w:tcPr>
          <w:p w14:paraId="3495D0F5" w14:textId="77777777" w:rsidR="00970F02" w:rsidRPr="006B2D4B" w:rsidRDefault="00970F02" w:rsidP="006B2D4B">
            <w:pPr>
              <w:contextualSpacing/>
              <w:jc w:val="center"/>
              <w:rPr>
                <w:sz w:val="24"/>
                <w:szCs w:val="24"/>
                <w:lang w:eastAsia="en-US"/>
              </w:rPr>
            </w:pPr>
            <w:r w:rsidRPr="006B2D4B">
              <w:rPr>
                <w:sz w:val="24"/>
                <w:szCs w:val="24"/>
                <w:lang w:eastAsia="en-US"/>
              </w:rPr>
              <w:t>x</w:t>
            </w:r>
          </w:p>
        </w:tc>
        <w:tc>
          <w:tcPr>
            <w:tcW w:w="1134" w:type="dxa"/>
            <w:shd w:val="clear" w:color="auto" w:fill="auto"/>
          </w:tcPr>
          <w:p w14:paraId="727E1D8B" w14:textId="77777777" w:rsidR="00970F02" w:rsidRPr="006B2D4B" w:rsidRDefault="00970F02" w:rsidP="006B2D4B">
            <w:pPr>
              <w:contextualSpacing/>
              <w:jc w:val="center"/>
              <w:rPr>
                <w:sz w:val="24"/>
                <w:szCs w:val="24"/>
                <w:lang w:eastAsia="en-US"/>
              </w:rPr>
            </w:pPr>
          </w:p>
        </w:tc>
      </w:tr>
    </w:tbl>
    <w:p w14:paraId="1E299B6E" w14:textId="77777777" w:rsidR="00970F02" w:rsidRPr="006B2D4B" w:rsidRDefault="00970F02" w:rsidP="006B2D4B">
      <w:pPr>
        <w:contextualSpacing/>
        <w:jc w:val="center"/>
        <w:rPr>
          <w:sz w:val="24"/>
          <w:szCs w:val="24"/>
          <w:lang w:eastAsia="en-US"/>
        </w:rPr>
      </w:pPr>
    </w:p>
    <w:p w14:paraId="3D3C96B7" w14:textId="77777777" w:rsidR="00970F02" w:rsidRPr="006B2D4B" w:rsidRDefault="00970F02" w:rsidP="006B2D4B">
      <w:pPr>
        <w:contextualSpacing/>
        <w:jc w:val="center"/>
        <w:rPr>
          <w:lang w:eastAsia="en-US"/>
        </w:rPr>
      </w:pPr>
    </w:p>
    <w:p w14:paraId="586EB675" w14:textId="77777777" w:rsidR="00970F02" w:rsidRPr="006B2D4B" w:rsidRDefault="00970F02" w:rsidP="006B2D4B">
      <w:pPr>
        <w:contextualSpacing/>
        <w:rPr>
          <w:lang w:eastAsia="en-US"/>
        </w:rPr>
      </w:pPr>
      <w:r w:rsidRPr="006B2D4B">
        <w:rPr>
          <w:lang w:eastAsia="en-US"/>
        </w:rPr>
        <w:t>________________________________________________</w:t>
      </w:r>
      <w:r w:rsidRPr="006B2D4B">
        <w:rPr>
          <w:lang w:eastAsia="en-US"/>
        </w:rPr>
        <w:tab/>
        <w:t xml:space="preserve">          _______</w:t>
      </w:r>
      <w:r w:rsidRPr="006B2D4B">
        <w:rPr>
          <w:lang w:eastAsia="en-US"/>
        </w:rPr>
        <w:tab/>
        <w:t xml:space="preserve">                  ______________                              </w:t>
      </w:r>
    </w:p>
    <w:p w14:paraId="2A5A8763" w14:textId="77777777" w:rsidR="00970F02" w:rsidRPr="006B2D4B" w:rsidRDefault="00970F02" w:rsidP="006B2D4B">
      <w:pPr>
        <w:contextualSpacing/>
        <w:rPr>
          <w:lang w:eastAsia="en-US"/>
        </w:rPr>
      </w:pPr>
      <w:r w:rsidRPr="006B2D4B">
        <w:rPr>
          <w:lang w:eastAsia="en-US"/>
        </w:rPr>
        <w:t>(mokyklos, kurioje įsteigtas egzamino  centras, direktorius )</w:t>
      </w:r>
      <w:r w:rsidRPr="006B2D4B">
        <w:rPr>
          <w:lang w:eastAsia="en-US"/>
        </w:rPr>
        <w:tab/>
      </w:r>
      <w:r w:rsidRPr="006B2D4B">
        <w:rPr>
          <w:sz w:val="18"/>
          <w:szCs w:val="18"/>
          <w:lang w:eastAsia="en-US"/>
        </w:rPr>
        <w:t xml:space="preserve">            (</w:t>
      </w:r>
      <w:r w:rsidRPr="006B2D4B">
        <w:rPr>
          <w:lang w:eastAsia="en-US"/>
        </w:rPr>
        <w:t>parašas)</w:t>
      </w:r>
      <w:r w:rsidRPr="006B2D4B">
        <w:rPr>
          <w:lang w:eastAsia="en-US"/>
        </w:rPr>
        <w:tab/>
        <w:t xml:space="preserve">                  (vardas, pavardė)</w:t>
      </w:r>
    </w:p>
    <w:p w14:paraId="6E08B57B" w14:textId="77777777" w:rsidR="00970F02" w:rsidRPr="006B2D4B" w:rsidRDefault="00970F02" w:rsidP="006B2D4B">
      <w:pPr>
        <w:contextualSpacing/>
        <w:rPr>
          <w:lang w:eastAsia="en-US"/>
        </w:rPr>
      </w:pPr>
      <w:r w:rsidRPr="006B2D4B">
        <w:rPr>
          <w:lang w:eastAsia="en-US"/>
        </w:rPr>
        <w:t xml:space="preserve">                                                      </w:t>
      </w:r>
      <w:r w:rsidRPr="006B2D4B">
        <w:rPr>
          <w:lang w:eastAsia="en-US"/>
        </w:rPr>
        <w:tab/>
      </w:r>
    </w:p>
    <w:p w14:paraId="5F272BB0" w14:textId="77777777" w:rsidR="00970F02" w:rsidRPr="006B2D4B" w:rsidRDefault="00970F02" w:rsidP="006B2D4B">
      <w:pPr>
        <w:contextualSpacing/>
        <w:rPr>
          <w:lang w:eastAsia="en-US"/>
        </w:rPr>
      </w:pPr>
    </w:p>
    <w:p w14:paraId="7CC3F073" w14:textId="77777777" w:rsidR="00970F02" w:rsidRPr="006B2D4B" w:rsidRDefault="00970F02" w:rsidP="006B2D4B">
      <w:pPr>
        <w:contextualSpacing/>
        <w:rPr>
          <w:lang w:eastAsia="en-US"/>
        </w:rPr>
      </w:pPr>
    </w:p>
    <w:p w14:paraId="03EC731A" w14:textId="77777777" w:rsidR="00970F02" w:rsidRPr="006B2D4B" w:rsidRDefault="00970F02" w:rsidP="006B2D4B">
      <w:pPr>
        <w:contextualSpacing/>
        <w:rPr>
          <w:lang w:eastAsia="en-US"/>
        </w:rPr>
      </w:pPr>
    </w:p>
    <w:p w14:paraId="210861B9" w14:textId="77777777" w:rsidR="00970F02" w:rsidRPr="006B2D4B" w:rsidRDefault="00970F02" w:rsidP="006B2D4B">
      <w:pPr>
        <w:contextualSpacing/>
        <w:rPr>
          <w:lang w:eastAsia="en-US"/>
        </w:rPr>
      </w:pPr>
    </w:p>
    <w:p w14:paraId="5999AF4D" w14:textId="77777777" w:rsidR="00970F02" w:rsidRPr="006B2D4B" w:rsidRDefault="00970F02" w:rsidP="006B2D4B">
      <w:pPr>
        <w:contextualSpacing/>
        <w:rPr>
          <w:lang w:eastAsia="en-US"/>
        </w:rPr>
      </w:pPr>
    </w:p>
    <w:p w14:paraId="77E7068B" w14:textId="77777777" w:rsidR="00970F02" w:rsidRPr="006B2D4B" w:rsidRDefault="00970F02" w:rsidP="006B2D4B">
      <w:pPr>
        <w:contextualSpacing/>
        <w:rPr>
          <w:lang w:eastAsia="en-US"/>
        </w:rPr>
      </w:pPr>
    </w:p>
    <w:p w14:paraId="74F30013" w14:textId="77777777" w:rsidR="00970F02" w:rsidRPr="006B2D4B" w:rsidRDefault="00970F02" w:rsidP="006B2D4B">
      <w:pPr>
        <w:contextualSpacing/>
        <w:rPr>
          <w:lang w:eastAsia="en-US"/>
        </w:rPr>
      </w:pPr>
    </w:p>
    <w:p w14:paraId="2956C33A" w14:textId="77777777" w:rsidR="00970F02" w:rsidRPr="006B2D4B" w:rsidRDefault="00970F02" w:rsidP="006B2D4B">
      <w:pPr>
        <w:contextualSpacing/>
        <w:rPr>
          <w:lang w:eastAsia="en-US"/>
        </w:rPr>
      </w:pPr>
    </w:p>
    <w:p w14:paraId="008C5853" w14:textId="77777777" w:rsidR="00970F02" w:rsidRPr="006B2D4B" w:rsidRDefault="00970F02" w:rsidP="006B2D4B">
      <w:pPr>
        <w:contextualSpacing/>
        <w:rPr>
          <w:lang w:eastAsia="en-US"/>
        </w:rPr>
      </w:pPr>
    </w:p>
    <w:p w14:paraId="232509DF" w14:textId="77777777" w:rsidR="00970F02" w:rsidRPr="006B2D4B" w:rsidRDefault="00970F02" w:rsidP="006B2D4B">
      <w:pPr>
        <w:contextualSpacing/>
        <w:rPr>
          <w:lang w:eastAsia="en-US"/>
        </w:rPr>
      </w:pPr>
    </w:p>
    <w:p w14:paraId="5EF87FCF" w14:textId="77777777" w:rsidR="00970F02" w:rsidRPr="006B2D4B" w:rsidRDefault="00970F02" w:rsidP="006B2D4B">
      <w:pPr>
        <w:contextualSpacing/>
        <w:rPr>
          <w:lang w:eastAsia="en-US"/>
        </w:rPr>
      </w:pPr>
    </w:p>
    <w:p w14:paraId="7E4C1EB2" w14:textId="77777777" w:rsidR="00970F02" w:rsidRPr="006B2D4B" w:rsidRDefault="00970F02" w:rsidP="006B2D4B">
      <w:pPr>
        <w:contextualSpacing/>
        <w:rPr>
          <w:lang w:eastAsia="en-US"/>
        </w:rPr>
      </w:pPr>
    </w:p>
    <w:p w14:paraId="494289CD" w14:textId="77777777" w:rsidR="00970F02" w:rsidRPr="006B2D4B" w:rsidRDefault="00970F02" w:rsidP="006B2D4B">
      <w:pPr>
        <w:contextualSpacing/>
        <w:rPr>
          <w:lang w:eastAsia="en-US"/>
        </w:rPr>
      </w:pPr>
    </w:p>
    <w:p w14:paraId="18AD501F" w14:textId="77777777" w:rsidR="00970F02" w:rsidRPr="006B2D4B" w:rsidRDefault="00970F02" w:rsidP="006B2D4B">
      <w:pPr>
        <w:contextualSpacing/>
        <w:rPr>
          <w:lang w:eastAsia="en-US"/>
        </w:rPr>
      </w:pPr>
    </w:p>
    <w:p w14:paraId="4BE77626" w14:textId="77777777" w:rsidR="00970F02" w:rsidRPr="006B2D4B" w:rsidRDefault="00970F02" w:rsidP="006B2D4B">
      <w:pPr>
        <w:contextualSpacing/>
        <w:rPr>
          <w:lang w:eastAsia="en-US"/>
        </w:rPr>
      </w:pPr>
    </w:p>
    <w:p w14:paraId="09AC7530" w14:textId="77777777" w:rsidR="00970F02" w:rsidRPr="006B2D4B" w:rsidRDefault="00970F02" w:rsidP="006B2D4B">
      <w:pPr>
        <w:contextualSpacing/>
        <w:rPr>
          <w:lang w:eastAsia="en-US"/>
        </w:rPr>
      </w:pPr>
    </w:p>
    <w:p w14:paraId="38185CB3" w14:textId="77777777" w:rsidR="00970F02" w:rsidRPr="006B2D4B" w:rsidRDefault="00970F02" w:rsidP="006B2D4B">
      <w:pPr>
        <w:contextualSpacing/>
        <w:rPr>
          <w:lang w:eastAsia="en-US"/>
        </w:rPr>
      </w:pPr>
    </w:p>
    <w:p w14:paraId="19A90397" w14:textId="77777777" w:rsidR="00970F02" w:rsidRPr="006B2D4B" w:rsidRDefault="00970F02" w:rsidP="006B2D4B">
      <w:pPr>
        <w:contextualSpacing/>
        <w:rPr>
          <w:lang w:eastAsia="en-US"/>
        </w:rPr>
      </w:pPr>
    </w:p>
    <w:p w14:paraId="03FB730E" w14:textId="77777777" w:rsidR="00970F02" w:rsidRPr="006B2D4B" w:rsidRDefault="00970F02" w:rsidP="006B2D4B">
      <w:pPr>
        <w:contextualSpacing/>
        <w:rPr>
          <w:lang w:eastAsia="en-US"/>
        </w:rPr>
      </w:pPr>
    </w:p>
    <w:p w14:paraId="6079803B" w14:textId="77777777" w:rsidR="00970F02" w:rsidRPr="006B2D4B" w:rsidRDefault="00970F02" w:rsidP="006B2D4B">
      <w:pPr>
        <w:contextualSpacing/>
        <w:rPr>
          <w:lang w:eastAsia="en-US"/>
        </w:rPr>
      </w:pPr>
    </w:p>
    <w:p w14:paraId="30392E5A" w14:textId="77777777" w:rsidR="00970F02" w:rsidRPr="006B2D4B" w:rsidRDefault="00970F02" w:rsidP="006B2D4B">
      <w:pPr>
        <w:contextualSpacing/>
        <w:rPr>
          <w:lang w:eastAsia="en-US"/>
        </w:rPr>
      </w:pPr>
    </w:p>
    <w:p w14:paraId="1CB40126" w14:textId="77777777" w:rsidR="00970F02" w:rsidRPr="006B2D4B" w:rsidRDefault="00970F02" w:rsidP="006B2D4B">
      <w:pPr>
        <w:contextualSpacing/>
        <w:rPr>
          <w:lang w:eastAsia="en-US"/>
        </w:rPr>
      </w:pPr>
    </w:p>
    <w:p w14:paraId="409CC919" w14:textId="77777777" w:rsidR="00970F02" w:rsidRPr="006B2D4B" w:rsidRDefault="00970F02" w:rsidP="006B2D4B">
      <w:pPr>
        <w:contextualSpacing/>
        <w:rPr>
          <w:lang w:eastAsia="en-US"/>
        </w:rPr>
      </w:pPr>
    </w:p>
    <w:p w14:paraId="59DBAA0F" w14:textId="77777777" w:rsidR="00970F02" w:rsidRPr="006B2D4B" w:rsidRDefault="00970F02" w:rsidP="006B2D4B">
      <w:pPr>
        <w:contextualSpacing/>
        <w:rPr>
          <w:lang w:eastAsia="en-US"/>
        </w:rPr>
      </w:pPr>
    </w:p>
    <w:p w14:paraId="5B17E374" w14:textId="77777777" w:rsidR="00970F02" w:rsidRPr="006B2D4B" w:rsidRDefault="00970F02" w:rsidP="006B2D4B">
      <w:pPr>
        <w:contextualSpacing/>
        <w:rPr>
          <w:lang w:eastAsia="en-US"/>
        </w:rPr>
      </w:pPr>
    </w:p>
    <w:p w14:paraId="60CFF0EA" w14:textId="77777777" w:rsidR="00970F02" w:rsidRPr="006B2D4B" w:rsidRDefault="00970F02" w:rsidP="006B2D4B">
      <w:pPr>
        <w:contextualSpacing/>
        <w:rPr>
          <w:lang w:eastAsia="en-US"/>
        </w:rPr>
      </w:pPr>
    </w:p>
    <w:p w14:paraId="2D85753E" w14:textId="77777777" w:rsidR="00970F02" w:rsidRPr="006B2D4B" w:rsidRDefault="00970F02" w:rsidP="006B2D4B">
      <w:pPr>
        <w:contextualSpacing/>
        <w:rPr>
          <w:lang w:eastAsia="en-US"/>
        </w:rPr>
      </w:pPr>
    </w:p>
    <w:p w14:paraId="245A3B11" w14:textId="77777777" w:rsidR="00970F02" w:rsidRPr="006B2D4B" w:rsidRDefault="00970F02" w:rsidP="006B2D4B">
      <w:pPr>
        <w:contextualSpacing/>
        <w:rPr>
          <w:lang w:eastAsia="en-US"/>
        </w:rPr>
      </w:pPr>
    </w:p>
    <w:p w14:paraId="3498D0E5" w14:textId="77777777" w:rsidR="00970F02" w:rsidRPr="006B2D4B" w:rsidRDefault="00970F02" w:rsidP="006B2D4B">
      <w:pPr>
        <w:contextualSpacing/>
        <w:rPr>
          <w:lang w:eastAsia="en-US"/>
        </w:rPr>
      </w:pPr>
    </w:p>
    <w:p w14:paraId="6592B33C" w14:textId="77777777" w:rsidR="00970F02" w:rsidRPr="006B2D4B" w:rsidRDefault="00970F02" w:rsidP="006B2D4B">
      <w:pPr>
        <w:contextualSpacing/>
        <w:rPr>
          <w:lang w:eastAsia="en-US"/>
        </w:rPr>
      </w:pPr>
    </w:p>
    <w:p w14:paraId="47F30107" w14:textId="77777777" w:rsidR="00970F02" w:rsidRPr="006B2D4B" w:rsidRDefault="00970F02" w:rsidP="006B2D4B">
      <w:pPr>
        <w:contextualSpacing/>
        <w:rPr>
          <w:bCs/>
          <w:sz w:val="24"/>
          <w:szCs w:val="24"/>
          <w:lang w:eastAsia="en-US"/>
        </w:rPr>
      </w:pPr>
      <w:r w:rsidRPr="006B2D4B">
        <w:rPr>
          <w:bCs/>
          <w:sz w:val="24"/>
          <w:szCs w:val="24"/>
          <w:lang w:eastAsia="en-US"/>
        </w:rPr>
        <w:lastRenderedPageBreak/>
        <w:t>Kėdainių rajono savivaldybės tarybai</w:t>
      </w:r>
    </w:p>
    <w:p w14:paraId="507B4987" w14:textId="77777777" w:rsidR="00970F02" w:rsidRPr="006B2D4B" w:rsidRDefault="00970F02" w:rsidP="006B2D4B">
      <w:pPr>
        <w:contextualSpacing/>
        <w:rPr>
          <w:sz w:val="24"/>
          <w:szCs w:val="24"/>
          <w:lang w:eastAsia="en-US"/>
        </w:rPr>
      </w:pPr>
    </w:p>
    <w:p w14:paraId="24C08DAC" w14:textId="77777777" w:rsidR="00970F02" w:rsidRPr="006B2D4B" w:rsidRDefault="00970F02" w:rsidP="006B2D4B">
      <w:pPr>
        <w:contextualSpacing/>
        <w:jc w:val="center"/>
        <w:rPr>
          <w:b/>
          <w:sz w:val="24"/>
          <w:szCs w:val="24"/>
          <w:lang w:eastAsia="en-US"/>
        </w:rPr>
      </w:pPr>
      <w:r w:rsidRPr="006B2D4B">
        <w:rPr>
          <w:b/>
          <w:sz w:val="24"/>
          <w:szCs w:val="24"/>
          <w:lang w:eastAsia="en-US"/>
        </w:rPr>
        <w:t>AIŠKINAMASIS RAŠTAS</w:t>
      </w:r>
    </w:p>
    <w:p w14:paraId="0A07B9DB" w14:textId="77777777" w:rsidR="00970F02" w:rsidRPr="006B2D4B" w:rsidRDefault="00970F02" w:rsidP="006B2D4B">
      <w:pPr>
        <w:contextualSpacing/>
        <w:jc w:val="center"/>
        <w:rPr>
          <w:b/>
          <w:bCs/>
          <w:sz w:val="24"/>
          <w:szCs w:val="24"/>
          <w:lang w:eastAsia="lt-LT"/>
        </w:rPr>
      </w:pPr>
      <w:r w:rsidRPr="006B2D4B">
        <w:rPr>
          <w:b/>
          <w:bCs/>
          <w:sz w:val="24"/>
          <w:szCs w:val="24"/>
          <w:lang w:eastAsia="lt-LT"/>
        </w:rPr>
        <w:t>DĖL APMOKĖJIMO UŽ PAGRINDINĖS IR PAKARTOTINĖS SESIJŲ VALSTYBINIŲ BRANDOS EGZAMINŲ VYKDYMĄ TVARKOS APRAŠO PATVIRTINIMO</w:t>
      </w:r>
    </w:p>
    <w:p w14:paraId="6571CD24" w14:textId="77777777" w:rsidR="00970F02" w:rsidRPr="006B2D4B" w:rsidRDefault="00970F02" w:rsidP="006B2D4B">
      <w:pPr>
        <w:contextualSpacing/>
        <w:jc w:val="center"/>
        <w:rPr>
          <w:sz w:val="24"/>
          <w:szCs w:val="24"/>
          <w:lang w:eastAsia="en-US"/>
        </w:rPr>
      </w:pPr>
    </w:p>
    <w:p w14:paraId="59D7BBF6" w14:textId="77777777" w:rsidR="00970F02" w:rsidRPr="006B2D4B" w:rsidRDefault="00970F02" w:rsidP="006B2D4B">
      <w:pPr>
        <w:contextualSpacing/>
        <w:jc w:val="center"/>
        <w:rPr>
          <w:sz w:val="24"/>
          <w:szCs w:val="24"/>
          <w:lang w:eastAsia="en-US"/>
        </w:rPr>
      </w:pPr>
      <w:r w:rsidRPr="006B2D4B">
        <w:rPr>
          <w:sz w:val="24"/>
          <w:szCs w:val="24"/>
          <w:lang w:eastAsia="en-US"/>
        </w:rPr>
        <w:t>2025 m. gegužės       d.</w:t>
      </w:r>
    </w:p>
    <w:p w14:paraId="4452BD0F" w14:textId="77777777" w:rsidR="00970F02" w:rsidRPr="006B2D4B" w:rsidRDefault="00970F02" w:rsidP="006B2D4B">
      <w:pPr>
        <w:contextualSpacing/>
        <w:jc w:val="center"/>
        <w:rPr>
          <w:sz w:val="24"/>
          <w:szCs w:val="24"/>
          <w:lang w:eastAsia="en-US"/>
        </w:rPr>
      </w:pPr>
      <w:r w:rsidRPr="006B2D4B">
        <w:rPr>
          <w:sz w:val="24"/>
          <w:szCs w:val="24"/>
          <w:lang w:eastAsia="en-US"/>
        </w:rPr>
        <w:t>Kėdainiai</w:t>
      </w:r>
    </w:p>
    <w:p w14:paraId="352BC97B" w14:textId="77777777" w:rsidR="00970F02" w:rsidRPr="006B2D4B" w:rsidRDefault="00970F02" w:rsidP="006B2D4B">
      <w:pPr>
        <w:contextualSpacing/>
        <w:rPr>
          <w:sz w:val="24"/>
          <w:szCs w:val="24"/>
          <w:lang w:eastAsia="en-US"/>
        </w:rPr>
      </w:pPr>
    </w:p>
    <w:p w14:paraId="6BDD5623" w14:textId="77777777" w:rsidR="00970F02" w:rsidRPr="006B2D4B" w:rsidRDefault="00970F02" w:rsidP="006B2D4B">
      <w:pPr>
        <w:ind w:firstLine="680"/>
        <w:contextualSpacing/>
        <w:jc w:val="both"/>
        <w:rPr>
          <w:b/>
          <w:sz w:val="24"/>
          <w:szCs w:val="24"/>
          <w:lang w:eastAsia="en-US"/>
        </w:rPr>
      </w:pPr>
      <w:r w:rsidRPr="006B2D4B">
        <w:rPr>
          <w:b/>
          <w:sz w:val="24"/>
          <w:szCs w:val="24"/>
          <w:lang w:eastAsia="en-US"/>
        </w:rPr>
        <w:t>Parengto sprendimo projekto tikslai.</w:t>
      </w:r>
    </w:p>
    <w:p w14:paraId="253E707B" w14:textId="77777777" w:rsidR="00970F02" w:rsidRPr="006B2D4B" w:rsidRDefault="00970F02" w:rsidP="006B2D4B">
      <w:pPr>
        <w:ind w:firstLine="709"/>
        <w:contextualSpacing/>
        <w:jc w:val="both"/>
        <w:rPr>
          <w:sz w:val="24"/>
          <w:szCs w:val="24"/>
          <w:lang w:eastAsia="en-US"/>
        </w:rPr>
      </w:pPr>
      <w:r w:rsidRPr="006B2D4B">
        <w:rPr>
          <w:sz w:val="24"/>
          <w:szCs w:val="24"/>
          <w:lang w:eastAsia="en-US"/>
        </w:rPr>
        <w:t xml:space="preserve">Užtikrinti, kad atlygis už valstybinių brandos egzaminų organizavimą ir vykdymą atitiktų teisės aktų reikalavimus ir darbui skiriamas sąnaudas. </w:t>
      </w:r>
    </w:p>
    <w:p w14:paraId="676DEA95" w14:textId="77777777" w:rsidR="00970F02" w:rsidRPr="006B2D4B" w:rsidRDefault="00970F02" w:rsidP="006B2D4B">
      <w:pPr>
        <w:ind w:firstLine="709"/>
        <w:contextualSpacing/>
        <w:jc w:val="both"/>
        <w:rPr>
          <w:sz w:val="24"/>
          <w:szCs w:val="24"/>
          <w:lang w:eastAsia="en-US"/>
        </w:rPr>
      </w:pPr>
    </w:p>
    <w:p w14:paraId="7ECD5667" w14:textId="77777777" w:rsidR="00970F02" w:rsidRPr="006B2D4B" w:rsidRDefault="00970F02" w:rsidP="006B2D4B">
      <w:pPr>
        <w:ind w:firstLine="709"/>
        <w:contextualSpacing/>
        <w:rPr>
          <w:sz w:val="24"/>
          <w:szCs w:val="24"/>
          <w:lang w:eastAsia="en-US"/>
        </w:rPr>
      </w:pPr>
      <w:r w:rsidRPr="006B2D4B">
        <w:rPr>
          <w:b/>
          <w:bCs/>
          <w:sz w:val="24"/>
          <w:szCs w:val="24"/>
          <w:lang w:eastAsia="en-US"/>
        </w:rPr>
        <w:t>Sprendimo projekto esmė</w:t>
      </w:r>
      <w:r w:rsidRPr="006B2D4B">
        <w:rPr>
          <w:sz w:val="24"/>
          <w:szCs w:val="24"/>
          <w:lang w:eastAsia="en-US"/>
        </w:rPr>
        <w:t>.</w:t>
      </w:r>
    </w:p>
    <w:p w14:paraId="2678AC6C" w14:textId="77777777" w:rsidR="00970F02" w:rsidRPr="006B2D4B" w:rsidRDefault="00970F02" w:rsidP="006B2D4B">
      <w:pPr>
        <w:ind w:firstLine="709"/>
        <w:contextualSpacing/>
        <w:rPr>
          <w:sz w:val="24"/>
          <w:szCs w:val="24"/>
          <w:lang w:eastAsia="en-US"/>
        </w:rPr>
      </w:pPr>
      <w:r w:rsidRPr="006B2D4B">
        <w:rPr>
          <w:sz w:val="24"/>
          <w:szCs w:val="24"/>
          <w:lang w:eastAsia="en-US"/>
        </w:rPr>
        <w:t>Reglamentuoti darbo apmokėjimą už valstybinių brandos egzaminų vykdymą.</w:t>
      </w:r>
    </w:p>
    <w:p w14:paraId="7E7B8093" w14:textId="77777777" w:rsidR="00970F02" w:rsidRPr="006B2D4B" w:rsidRDefault="00970F02" w:rsidP="006B2D4B">
      <w:pPr>
        <w:ind w:firstLine="709"/>
        <w:contextualSpacing/>
        <w:jc w:val="both"/>
        <w:rPr>
          <w:sz w:val="24"/>
          <w:szCs w:val="24"/>
          <w:lang w:eastAsia="en-US"/>
        </w:rPr>
      </w:pPr>
      <w:r w:rsidRPr="006B2D4B">
        <w:rPr>
          <w:sz w:val="24"/>
          <w:szCs w:val="24"/>
          <w:lang w:eastAsia="en-US"/>
        </w:rPr>
        <w:t>2024–2025 m. m. neorganizuojami mokykliniai brandos egzaminai, pakeistas valstybinių brandos egzaminų organizavimo ir vykdymo tvarkos aprašas, patvirtintas Lietuvos Respublikos švietimo, mokslo ir sporto ministro 2023 m. rugsėjo 11 d. Nr. V-1187 „Dėl Valstybinių brandos egzaminų organizavimo ir vykdymo tvarkos aprašo patvirtinimo“. Vykdomos pagrindinės ir pakartotinės sesijų valstybinių brandos egzaminų pirmosios ir antrosios dalys, kurios skiriasi vykdymo būdu, yra skirtingos trukmės, skiriasi ir jų organizavimo sąlygos (didelis kandidatų skaičius, egzaminuose naudojamos informacinės technologijos).</w:t>
      </w:r>
    </w:p>
    <w:p w14:paraId="63008355" w14:textId="77777777" w:rsidR="00970F02" w:rsidRPr="006B2D4B" w:rsidRDefault="00970F02" w:rsidP="006B2D4B">
      <w:pPr>
        <w:ind w:firstLine="709"/>
        <w:contextualSpacing/>
        <w:jc w:val="both"/>
        <w:rPr>
          <w:sz w:val="24"/>
          <w:szCs w:val="24"/>
          <w:lang w:eastAsia="en-US"/>
        </w:rPr>
      </w:pPr>
      <w:bookmarkStart w:id="4" w:name="_Hlk192679694"/>
      <w:bookmarkStart w:id="5" w:name="_Hlk192678052"/>
      <w:r w:rsidRPr="006B2D4B">
        <w:rPr>
          <w:sz w:val="24"/>
          <w:szCs w:val="24"/>
          <w:lang w:eastAsia="en-US"/>
        </w:rPr>
        <w:t xml:space="preserve">Atlygis už valstybinių brandos egzaminų organizavimą ir vykdymą nustatomas, atsižvelgiant į apmokėjimo už valstybinių brandos egzaminų rekomendacinius įkainius, patvirtintus Lietuvos Respublikos </w:t>
      </w:r>
      <w:bookmarkEnd w:id="4"/>
      <w:r w:rsidRPr="006B2D4B">
        <w:rPr>
          <w:sz w:val="24"/>
          <w:szCs w:val="24"/>
          <w:lang w:eastAsia="en-US"/>
        </w:rPr>
        <w:t>švietimo, mokslo ir sporto ministro  2014 m. spalio 2 d. įsakymu Nr. V-872 ,,Dėl Rekomendacinių įkainių už pagrindinės ir pakartotinės sesijų valstybinių brandos egzaminų vykdymą patvirtinimo“ (Lietuvos Respublikos švietimo, mokslo ir sporto ministro 2025 m. vasario 20 d. įsakymo Nr. V-191 redakcija), taip pat laiko sąnaudas vyresniųjų vykdytojų, administratorių ir vykdytojų funkcijoms atlikti.</w:t>
      </w:r>
    </w:p>
    <w:bookmarkEnd w:id="5"/>
    <w:p w14:paraId="25BB3E81" w14:textId="77777777" w:rsidR="00970F02" w:rsidRPr="006B2D4B" w:rsidRDefault="00970F02" w:rsidP="006B2D4B">
      <w:pPr>
        <w:ind w:firstLine="709"/>
        <w:contextualSpacing/>
        <w:jc w:val="both"/>
        <w:rPr>
          <w:sz w:val="24"/>
          <w:szCs w:val="24"/>
          <w:lang w:eastAsia="en-US"/>
        </w:rPr>
      </w:pPr>
    </w:p>
    <w:p w14:paraId="1B59A08D" w14:textId="77777777" w:rsidR="00970F02" w:rsidRPr="006B2D4B" w:rsidRDefault="00970F02" w:rsidP="006B2D4B">
      <w:pPr>
        <w:ind w:firstLine="680"/>
        <w:contextualSpacing/>
        <w:jc w:val="both"/>
        <w:rPr>
          <w:sz w:val="24"/>
          <w:szCs w:val="24"/>
          <w:lang w:eastAsia="en-US"/>
        </w:rPr>
      </w:pPr>
      <w:r w:rsidRPr="006B2D4B">
        <w:rPr>
          <w:b/>
          <w:sz w:val="24"/>
          <w:szCs w:val="24"/>
          <w:lang w:eastAsia="en-US"/>
        </w:rPr>
        <w:t>Lėšų poreikis</w:t>
      </w:r>
      <w:r w:rsidRPr="006B2D4B">
        <w:rPr>
          <w:sz w:val="24"/>
          <w:szCs w:val="24"/>
          <w:lang w:eastAsia="en-US"/>
        </w:rPr>
        <w:t xml:space="preserve"> (jeigu sprendimui įgyvendinti reikalingos lėšos).  </w:t>
      </w:r>
    </w:p>
    <w:p w14:paraId="5870F1DA" w14:textId="77777777" w:rsidR="00970F02" w:rsidRPr="006B2D4B" w:rsidRDefault="00970F02" w:rsidP="006B2D4B">
      <w:pPr>
        <w:ind w:firstLine="680"/>
        <w:contextualSpacing/>
        <w:jc w:val="both"/>
        <w:rPr>
          <w:sz w:val="24"/>
          <w:szCs w:val="24"/>
          <w:lang w:eastAsia="en-US"/>
        </w:rPr>
      </w:pPr>
      <w:r w:rsidRPr="006B2D4B">
        <w:rPr>
          <w:sz w:val="24"/>
          <w:szCs w:val="24"/>
          <w:lang w:eastAsia="en-US"/>
        </w:rPr>
        <w:t>Už valstybinių brandos egzaminų organizavimą ir vykdymą apmokama iš mokymo lėšų pagal Mokymo lėšų apskaičiavimo, paskirstymo ir panaudojimo tvarkos aprašo, patvirtinto Lietuvos Respublikos Vyriausybės 2018 m. liepos 11 d. nutarimu Nr. 679 „Dėl mokymo lėšų apskaičiavimo, paskirstymo ir panaudojimo tvarkos aprašo patvirtinimo“ 12.4 papunktį ir 13 punktą.</w:t>
      </w:r>
    </w:p>
    <w:p w14:paraId="7FFB0D9C" w14:textId="77777777" w:rsidR="00970F02" w:rsidRPr="006B2D4B" w:rsidRDefault="00970F02" w:rsidP="006B2D4B">
      <w:pPr>
        <w:ind w:firstLine="680"/>
        <w:contextualSpacing/>
        <w:jc w:val="both"/>
        <w:rPr>
          <w:sz w:val="24"/>
          <w:szCs w:val="24"/>
          <w:lang w:eastAsia="en-US"/>
        </w:rPr>
      </w:pPr>
    </w:p>
    <w:p w14:paraId="5D461C92" w14:textId="77777777" w:rsidR="00970F02" w:rsidRPr="006B2D4B" w:rsidRDefault="00970F02" w:rsidP="006B2D4B">
      <w:pPr>
        <w:ind w:firstLine="680"/>
        <w:contextualSpacing/>
        <w:jc w:val="both"/>
        <w:rPr>
          <w:b/>
          <w:sz w:val="24"/>
          <w:szCs w:val="24"/>
          <w:lang w:eastAsia="en-US"/>
        </w:rPr>
      </w:pPr>
      <w:r w:rsidRPr="006B2D4B">
        <w:rPr>
          <w:b/>
          <w:sz w:val="24"/>
          <w:szCs w:val="24"/>
          <w:lang w:eastAsia="en-US"/>
        </w:rPr>
        <w:t>Laukiami rezultatai.</w:t>
      </w:r>
    </w:p>
    <w:p w14:paraId="65C2F377" w14:textId="77777777" w:rsidR="00970F02" w:rsidRPr="006B2D4B" w:rsidRDefault="00970F02" w:rsidP="006B2D4B">
      <w:pPr>
        <w:ind w:firstLine="680"/>
        <w:contextualSpacing/>
        <w:jc w:val="both"/>
        <w:rPr>
          <w:sz w:val="24"/>
          <w:szCs w:val="24"/>
          <w:lang w:eastAsia="en-US"/>
        </w:rPr>
      </w:pPr>
      <w:r w:rsidRPr="006B2D4B">
        <w:rPr>
          <w:sz w:val="24"/>
          <w:szCs w:val="24"/>
          <w:lang w:eastAsia="en-US"/>
        </w:rPr>
        <w:t>Patvirtinus Aprašą, bus aiškiai reglamentuota, kaip, taikant nustatytus įkainius, įvertinant laiko sąnaudas, apskaičiuoti darbo užmokestį valstybinių brandos egzaminų vyresniesiems vykdytojams, administratoriams ir vykdytojams.</w:t>
      </w:r>
    </w:p>
    <w:p w14:paraId="030301B0" w14:textId="77777777" w:rsidR="00970F02" w:rsidRPr="006B2D4B" w:rsidRDefault="00970F02" w:rsidP="006B2D4B">
      <w:pPr>
        <w:ind w:firstLine="680"/>
        <w:contextualSpacing/>
        <w:jc w:val="both"/>
        <w:rPr>
          <w:sz w:val="24"/>
          <w:szCs w:val="24"/>
          <w:lang w:eastAsia="en-US"/>
        </w:rPr>
      </w:pPr>
    </w:p>
    <w:p w14:paraId="25646E2B" w14:textId="77777777" w:rsidR="00970F02" w:rsidRPr="006B2D4B" w:rsidRDefault="00970F02" w:rsidP="006B2D4B">
      <w:pPr>
        <w:ind w:firstLine="680"/>
        <w:contextualSpacing/>
        <w:jc w:val="both"/>
        <w:rPr>
          <w:b/>
          <w:sz w:val="24"/>
          <w:szCs w:val="24"/>
          <w:lang w:eastAsia="en-US"/>
        </w:rPr>
      </w:pPr>
      <w:r w:rsidRPr="006B2D4B">
        <w:rPr>
          <w:b/>
          <w:sz w:val="24"/>
          <w:szCs w:val="24"/>
          <w:lang w:eastAsia="en-US"/>
        </w:rPr>
        <w:t>Kiti reikalingi paaiškinimai.</w:t>
      </w:r>
    </w:p>
    <w:p w14:paraId="18E32811" w14:textId="77777777" w:rsidR="00970F02" w:rsidRPr="006B2D4B" w:rsidRDefault="00970F02" w:rsidP="006B2D4B">
      <w:pPr>
        <w:ind w:firstLine="680"/>
        <w:contextualSpacing/>
        <w:jc w:val="both"/>
        <w:rPr>
          <w:sz w:val="24"/>
          <w:szCs w:val="24"/>
          <w:lang w:eastAsia="en-US"/>
        </w:rPr>
      </w:pPr>
    </w:p>
    <w:p w14:paraId="5D84C062" w14:textId="77777777" w:rsidR="00970F02" w:rsidRPr="006B2D4B" w:rsidRDefault="00970F02" w:rsidP="006B2D4B">
      <w:pPr>
        <w:ind w:firstLine="680"/>
        <w:contextualSpacing/>
        <w:rPr>
          <w:b/>
          <w:bCs/>
          <w:sz w:val="24"/>
          <w:szCs w:val="24"/>
          <w:lang w:eastAsia="en-US"/>
        </w:rPr>
      </w:pPr>
      <w:r w:rsidRPr="006B2D4B">
        <w:rPr>
          <w:b/>
          <w:bCs/>
          <w:sz w:val="24"/>
          <w:szCs w:val="24"/>
          <w:lang w:eastAsia="en-US"/>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970F02" w:rsidRPr="006B2D4B" w14:paraId="087A3632" w14:textId="77777777" w:rsidTr="000B7EC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48D54FE2" w14:textId="77777777" w:rsidR="00970F02" w:rsidRPr="006B2D4B" w:rsidRDefault="00970F02" w:rsidP="006B2D4B">
            <w:pPr>
              <w:contextualSpacing/>
              <w:jc w:val="center"/>
              <w:rPr>
                <w:b/>
                <w:sz w:val="22"/>
                <w:szCs w:val="22"/>
                <w:lang w:eastAsia="en-US" w:bidi="lo-LA"/>
              </w:rPr>
            </w:pPr>
            <w:r w:rsidRPr="006B2D4B">
              <w:rPr>
                <w:b/>
                <w:sz w:val="22"/>
                <w:szCs w:val="22"/>
                <w:lang w:eastAsia="en-US"/>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3A667A9A" w14:textId="77777777" w:rsidR="00970F02" w:rsidRPr="006B2D4B" w:rsidRDefault="00970F02" w:rsidP="006B2D4B">
            <w:pPr>
              <w:contextualSpacing/>
              <w:jc w:val="center"/>
              <w:rPr>
                <w:b/>
                <w:bCs/>
                <w:sz w:val="22"/>
                <w:szCs w:val="22"/>
                <w:lang w:eastAsia="en-US"/>
              </w:rPr>
            </w:pPr>
            <w:r w:rsidRPr="006B2D4B">
              <w:rPr>
                <w:b/>
                <w:bCs/>
                <w:sz w:val="22"/>
                <w:szCs w:val="22"/>
                <w:lang w:eastAsia="en-US"/>
              </w:rPr>
              <w:t>Numatomo teisinio reguliavimo poveikio vertinimo rezultatai</w:t>
            </w:r>
          </w:p>
        </w:tc>
      </w:tr>
      <w:tr w:rsidR="00970F02" w:rsidRPr="006B2D4B" w14:paraId="21009191" w14:textId="77777777" w:rsidTr="000B7ECD">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tcPr>
          <w:p w14:paraId="537DE43F" w14:textId="77777777" w:rsidR="00970F02" w:rsidRPr="006B2D4B" w:rsidRDefault="00970F02" w:rsidP="006B2D4B">
            <w:pPr>
              <w:contextualSpacing/>
              <w:jc w:val="center"/>
              <w:rPr>
                <w:b/>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tcPr>
          <w:p w14:paraId="1FAA14B0" w14:textId="77777777" w:rsidR="00970F02" w:rsidRPr="006B2D4B" w:rsidRDefault="00970F02" w:rsidP="006B2D4B">
            <w:pPr>
              <w:contextualSpacing/>
              <w:jc w:val="center"/>
              <w:rPr>
                <w:b/>
                <w:sz w:val="22"/>
                <w:szCs w:val="22"/>
                <w:lang w:eastAsia="en-US"/>
              </w:rPr>
            </w:pPr>
            <w:r w:rsidRPr="006B2D4B">
              <w:rPr>
                <w:b/>
                <w:sz w:val="22"/>
                <w:szCs w:val="22"/>
                <w:lang w:eastAsia="en-US"/>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AE86892" w14:textId="77777777" w:rsidR="00970F02" w:rsidRPr="006B2D4B" w:rsidRDefault="00970F02" w:rsidP="006B2D4B">
            <w:pPr>
              <w:contextualSpacing/>
              <w:jc w:val="center"/>
              <w:rPr>
                <w:rFonts w:eastAsia="Calibri"/>
                <w:b/>
                <w:sz w:val="22"/>
                <w:szCs w:val="22"/>
                <w:lang w:eastAsia="en-US" w:bidi="lo-LA"/>
              </w:rPr>
            </w:pPr>
            <w:r w:rsidRPr="006B2D4B">
              <w:rPr>
                <w:b/>
                <w:sz w:val="22"/>
                <w:szCs w:val="22"/>
                <w:lang w:eastAsia="en-US"/>
              </w:rPr>
              <w:t>Neigiamas poveikis</w:t>
            </w:r>
          </w:p>
        </w:tc>
      </w:tr>
      <w:tr w:rsidR="00970F02" w:rsidRPr="006B2D4B" w14:paraId="3E2C93B6" w14:textId="77777777" w:rsidTr="000B7ECD">
        <w:tc>
          <w:tcPr>
            <w:tcW w:w="3118" w:type="dxa"/>
            <w:tcBorders>
              <w:top w:val="single" w:sz="4" w:space="0" w:color="000000"/>
              <w:left w:val="single" w:sz="4" w:space="0" w:color="000000"/>
              <w:bottom w:val="single" w:sz="4" w:space="0" w:color="000000"/>
              <w:right w:val="single" w:sz="4" w:space="0" w:color="000000"/>
            </w:tcBorders>
          </w:tcPr>
          <w:p w14:paraId="2DDD2A10" w14:textId="77777777" w:rsidR="00970F02" w:rsidRPr="006B2D4B" w:rsidRDefault="00970F02" w:rsidP="006B2D4B">
            <w:pPr>
              <w:contextualSpacing/>
              <w:rPr>
                <w:i/>
                <w:sz w:val="22"/>
                <w:szCs w:val="22"/>
                <w:lang w:eastAsia="en-US" w:bidi="lo-LA"/>
              </w:rPr>
            </w:pPr>
            <w:r w:rsidRPr="006B2D4B">
              <w:rPr>
                <w:i/>
                <w:sz w:val="22"/>
                <w:szCs w:val="22"/>
                <w:lang w:eastAsia="en-US"/>
              </w:rPr>
              <w:t>Ekonomikai</w:t>
            </w:r>
          </w:p>
        </w:tc>
        <w:tc>
          <w:tcPr>
            <w:tcW w:w="2977" w:type="dxa"/>
            <w:tcBorders>
              <w:top w:val="single" w:sz="4" w:space="0" w:color="000000"/>
              <w:left w:val="single" w:sz="4" w:space="0" w:color="000000"/>
              <w:bottom w:val="single" w:sz="4" w:space="0" w:color="000000"/>
              <w:right w:val="single" w:sz="4" w:space="0" w:color="000000"/>
            </w:tcBorders>
          </w:tcPr>
          <w:p w14:paraId="18A37F1B" w14:textId="77777777" w:rsidR="00970F02" w:rsidRPr="006B2D4B" w:rsidRDefault="00970F02" w:rsidP="006B2D4B">
            <w:pPr>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FF9BC" w14:textId="77777777" w:rsidR="00970F02" w:rsidRPr="006B2D4B" w:rsidRDefault="00970F02" w:rsidP="006B2D4B">
            <w:pPr>
              <w:contextualSpacing/>
              <w:rPr>
                <w:i/>
                <w:sz w:val="22"/>
                <w:szCs w:val="22"/>
                <w:lang w:eastAsia="en-US" w:bidi="lo-LA"/>
              </w:rPr>
            </w:pPr>
          </w:p>
        </w:tc>
      </w:tr>
      <w:tr w:rsidR="00970F02" w:rsidRPr="006B2D4B" w14:paraId="0423DC4E" w14:textId="77777777" w:rsidTr="000B7ECD">
        <w:tc>
          <w:tcPr>
            <w:tcW w:w="3118" w:type="dxa"/>
            <w:tcBorders>
              <w:top w:val="single" w:sz="4" w:space="0" w:color="000000"/>
              <w:left w:val="single" w:sz="4" w:space="0" w:color="000000"/>
              <w:bottom w:val="single" w:sz="4" w:space="0" w:color="000000"/>
              <w:right w:val="single" w:sz="4" w:space="0" w:color="000000"/>
            </w:tcBorders>
          </w:tcPr>
          <w:p w14:paraId="4F2B94F8" w14:textId="77777777" w:rsidR="00970F02" w:rsidRPr="006B2D4B" w:rsidRDefault="00970F02" w:rsidP="006B2D4B">
            <w:pPr>
              <w:contextualSpacing/>
              <w:rPr>
                <w:i/>
                <w:sz w:val="22"/>
                <w:szCs w:val="22"/>
                <w:lang w:eastAsia="en-US" w:bidi="lo-LA"/>
              </w:rPr>
            </w:pPr>
            <w:r w:rsidRPr="006B2D4B">
              <w:rPr>
                <w:i/>
                <w:sz w:val="22"/>
                <w:szCs w:val="22"/>
                <w:lang w:eastAsia="en-US"/>
              </w:rPr>
              <w:t>Finansams</w:t>
            </w:r>
          </w:p>
        </w:tc>
        <w:tc>
          <w:tcPr>
            <w:tcW w:w="2977" w:type="dxa"/>
            <w:tcBorders>
              <w:top w:val="single" w:sz="4" w:space="0" w:color="000000"/>
              <w:left w:val="single" w:sz="4" w:space="0" w:color="000000"/>
              <w:bottom w:val="single" w:sz="4" w:space="0" w:color="000000"/>
              <w:right w:val="single" w:sz="4" w:space="0" w:color="000000"/>
            </w:tcBorders>
          </w:tcPr>
          <w:p w14:paraId="55FEBE7E" w14:textId="77777777" w:rsidR="00970F02" w:rsidRPr="006B2D4B" w:rsidRDefault="00970F02" w:rsidP="006B2D4B">
            <w:pPr>
              <w:contextualSpacing/>
              <w:rPr>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DEBDCB" w14:textId="77777777" w:rsidR="00970F02" w:rsidRPr="006B2D4B" w:rsidRDefault="00970F02" w:rsidP="006B2D4B">
            <w:pPr>
              <w:contextualSpacing/>
              <w:rPr>
                <w:sz w:val="22"/>
                <w:szCs w:val="22"/>
                <w:lang w:eastAsia="en-US"/>
              </w:rPr>
            </w:pPr>
          </w:p>
        </w:tc>
      </w:tr>
      <w:tr w:rsidR="00970F02" w:rsidRPr="006B2D4B" w14:paraId="531E0B12" w14:textId="77777777" w:rsidTr="000B7ECD">
        <w:tc>
          <w:tcPr>
            <w:tcW w:w="3118" w:type="dxa"/>
            <w:tcBorders>
              <w:top w:val="single" w:sz="4" w:space="0" w:color="000000"/>
              <w:left w:val="single" w:sz="4" w:space="0" w:color="000000"/>
              <w:bottom w:val="single" w:sz="4" w:space="0" w:color="000000"/>
              <w:right w:val="single" w:sz="4" w:space="0" w:color="000000"/>
            </w:tcBorders>
          </w:tcPr>
          <w:p w14:paraId="6EC761B8" w14:textId="77777777" w:rsidR="00970F02" w:rsidRPr="006B2D4B" w:rsidRDefault="00970F02" w:rsidP="006B2D4B">
            <w:pPr>
              <w:contextualSpacing/>
              <w:rPr>
                <w:i/>
                <w:sz w:val="22"/>
                <w:szCs w:val="22"/>
                <w:lang w:eastAsia="en-US"/>
              </w:rPr>
            </w:pPr>
            <w:r w:rsidRPr="006B2D4B">
              <w:rPr>
                <w:i/>
                <w:sz w:val="22"/>
                <w:szCs w:val="22"/>
                <w:lang w:eastAsia="en-US"/>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1FCB153" w14:textId="77777777" w:rsidR="00970F02" w:rsidRPr="006B2D4B" w:rsidRDefault="00970F02" w:rsidP="006B2D4B">
            <w:pPr>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2BA322" w14:textId="77777777" w:rsidR="00970F02" w:rsidRPr="006B2D4B" w:rsidRDefault="00970F02" w:rsidP="006B2D4B">
            <w:pPr>
              <w:contextualSpacing/>
              <w:rPr>
                <w:sz w:val="22"/>
                <w:szCs w:val="22"/>
                <w:lang w:eastAsia="en-US"/>
              </w:rPr>
            </w:pPr>
          </w:p>
        </w:tc>
      </w:tr>
      <w:tr w:rsidR="00970F02" w:rsidRPr="006B2D4B" w14:paraId="0C94745E" w14:textId="77777777" w:rsidTr="000B7ECD">
        <w:tc>
          <w:tcPr>
            <w:tcW w:w="3118" w:type="dxa"/>
            <w:tcBorders>
              <w:top w:val="single" w:sz="4" w:space="0" w:color="000000"/>
              <w:left w:val="single" w:sz="4" w:space="0" w:color="000000"/>
              <w:bottom w:val="single" w:sz="4" w:space="0" w:color="000000"/>
              <w:right w:val="single" w:sz="4" w:space="0" w:color="000000"/>
            </w:tcBorders>
          </w:tcPr>
          <w:p w14:paraId="429B8276" w14:textId="77777777" w:rsidR="00970F02" w:rsidRPr="006B2D4B" w:rsidRDefault="00970F02" w:rsidP="006B2D4B">
            <w:pPr>
              <w:contextualSpacing/>
              <w:rPr>
                <w:i/>
                <w:sz w:val="22"/>
                <w:szCs w:val="22"/>
                <w:lang w:eastAsia="en-US" w:bidi="lo-LA"/>
              </w:rPr>
            </w:pPr>
            <w:r w:rsidRPr="006B2D4B">
              <w:rPr>
                <w:i/>
                <w:sz w:val="22"/>
                <w:szCs w:val="22"/>
                <w:lang w:eastAsia="en-US"/>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2E8C94C" w14:textId="77777777" w:rsidR="00970F02" w:rsidRPr="006B2D4B" w:rsidRDefault="00970F02" w:rsidP="006B2D4B">
            <w:pPr>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77F600C" w14:textId="77777777" w:rsidR="00970F02" w:rsidRPr="006B2D4B" w:rsidRDefault="00970F02" w:rsidP="006B2D4B">
            <w:pPr>
              <w:contextualSpacing/>
              <w:rPr>
                <w:i/>
                <w:sz w:val="22"/>
                <w:szCs w:val="22"/>
                <w:lang w:eastAsia="en-US" w:bidi="lo-LA"/>
              </w:rPr>
            </w:pPr>
          </w:p>
        </w:tc>
      </w:tr>
      <w:tr w:rsidR="00970F02" w:rsidRPr="006B2D4B" w14:paraId="25EC29AA" w14:textId="77777777" w:rsidTr="000B7ECD">
        <w:tc>
          <w:tcPr>
            <w:tcW w:w="3118" w:type="dxa"/>
            <w:tcBorders>
              <w:top w:val="single" w:sz="4" w:space="0" w:color="000000"/>
              <w:left w:val="single" w:sz="4" w:space="0" w:color="000000"/>
              <w:bottom w:val="single" w:sz="4" w:space="0" w:color="000000"/>
              <w:right w:val="single" w:sz="4" w:space="0" w:color="000000"/>
            </w:tcBorders>
          </w:tcPr>
          <w:p w14:paraId="364102FB" w14:textId="77777777" w:rsidR="00970F02" w:rsidRPr="006B2D4B" w:rsidRDefault="00970F02" w:rsidP="006B2D4B">
            <w:pPr>
              <w:contextualSpacing/>
              <w:rPr>
                <w:i/>
                <w:sz w:val="22"/>
                <w:szCs w:val="22"/>
                <w:lang w:eastAsia="en-US" w:bidi="lo-LA"/>
              </w:rPr>
            </w:pPr>
            <w:r w:rsidRPr="006B2D4B">
              <w:rPr>
                <w:i/>
                <w:sz w:val="22"/>
                <w:szCs w:val="22"/>
                <w:lang w:eastAsia="en-US"/>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71C1FF0" w14:textId="77777777" w:rsidR="00970F02" w:rsidRPr="006B2D4B" w:rsidRDefault="00970F02" w:rsidP="006B2D4B">
            <w:pPr>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D022257" w14:textId="77777777" w:rsidR="00970F02" w:rsidRPr="006B2D4B" w:rsidRDefault="00970F02" w:rsidP="006B2D4B">
            <w:pPr>
              <w:contextualSpacing/>
              <w:rPr>
                <w:i/>
                <w:sz w:val="22"/>
                <w:szCs w:val="22"/>
                <w:lang w:eastAsia="en-US" w:bidi="lo-LA"/>
              </w:rPr>
            </w:pPr>
          </w:p>
        </w:tc>
      </w:tr>
      <w:tr w:rsidR="00970F02" w:rsidRPr="006B2D4B" w14:paraId="64501D39" w14:textId="77777777" w:rsidTr="000B7ECD">
        <w:tc>
          <w:tcPr>
            <w:tcW w:w="3118" w:type="dxa"/>
            <w:tcBorders>
              <w:top w:val="single" w:sz="4" w:space="0" w:color="000000"/>
              <w:left w:val="single" w:sz="4" w:space="0" w:color="000000"/>
              <w:bottom w:val="single" w:sz="4" w:space="0" w:color="000000"/>
              <w:right w:val="single" w:sz="4" w:space="0" w:color="000000"/>
            </w:tcBorders>
          </w:tcPr>
          <w:p w14:paraId="7007323A" w14:textId="77777777" w:rsidR="00970F02" w:rsidRPr="006B2D4B" w:rsidRDefault="00970F02" w:rsidP="006B2D4B">
            <w:pPr>
              <w:contextualSpacing/>
              <w:rPr>
                <w:i/>
                <w:sz w:val="22"/>
                <w:szCs w:val="22"/>
                <w:lang w:eastAsia="en-US" w:bidi="lo-LA"/>
              </w:rPr>
            </w:pPr>
            <w:r w:rsidRPr="006B2D4B">
              <w:rPr>
                <w:i/>
                <w:sz w:val="22"/>
                <w:szCs w:val="22"/>
                <w:lang w:eastAsia="en-US"/>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F1EC23F" w14:textId="77777777" w:rsidR="00970F02" w:rsidRPr="006B2D4B" w:rsidRDefault="00970F02" w:rsidP="006B2D4B">
            <w:pPr>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0EC95F" w14:textId="77777777" w:rsidR="00970F02" w:rsidRPr="006B2D4B" w:rsidRDefault="00970F02" w:rsidP="006B2D4B">
            <w:pPr>
              <w:contextualSpacing/>
              <w:rPr>
                <w:i/>
                <w:sz w:val="22"/>
                <w:szCs w:val="22"/>
                <w:lang w:eastAsia="en-US" w:bidi="lo-LA"/>
              </w:rPr>
            </w:pPr>
          </w:p>
        </w:tc>
      </w:tr>
      <w:tr w:rsidR="00970F02" w:rsidRPr="006B2D4B" w14:paraId="6EB6A123" w14:textId="77777777" w:rsidTr="000B7ECD">
        <w:tc>
          <w:tcPr>
            <w:tcW w:w="3118" w:type="dxa"/>
            <w:tcBorders>
              <w:top w:val="single" w:sz="4" w:space="0" w:color="000000"/>
              <w:left w:val="single" w:sz="4" w:space="0" w:color="000000"/>
              <w:bottom w:val="single" w:sz="4" w:space="0" w:color="000000"/>
              <w:right w:val="single" w:sz="4" w:space="0" w:color="000000"/>
            </w:tcBorders>
          </w:tcPr>
          <w:p w14:paraId="707DFA22" w14:textId="77777777" w:rsidR="00970F02" w:rsidRPr="006B2D4B" w:rsidRDefault="00970F02" w:rsidP="006B2D4B">
            <w:pPr>
              <w:contextualSpacing/>
              <w:rPr>
                <w:i/>
                <w:sz w:val="22"/>
                <w:szCs w:val="22"/>
                <w:lang w:eastAsia="en-US" w:bidi="lo-LA"/>
              </w:rPr>
            </w:pPr>
            <w:r w:rsidRPr="006B2D4B">
              <w:rPr>
                <w:i/>
                <w:sz w:val="22"/>
                <w:szCs w:val="22"/>
                <w:lang w:eastAsia="en-US"/>
              </w:rPr>
              <w:lastRenderedPageBreak/>
              <w:t>Aplinkai</w:t>
            </w:r>
          </w:p>
        </w:tc>
        <w:tc>
          <w:tcPr>
            <w:tcW w:w="2977" w:type="dxa"/>
            <w:tcBorders>
              <w:top w:val="single" w:sz="4" w:space="0" w:color="000000"/>
              <w:left w:val="single" w:sz="4" w:space="0" w:color="000000"/>
              <w:bottom w:val="single" w:sz="4" w:space="0" w:color="000000"/>
              <w:right w:val="single" w:sz="4" w:space="0" w:color="000000"/>
            </w:tcBorders>
          </w:tcPr>
          <w:p w14:paraId="2BF1CFCE" w14:textId="77777777" w:rsidR="00970F02" w:rsidRPr="006B2D4B" w:rsidRDefault="00970F02" w:rsidP="006B2D4B">
            <w:pPr>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6BDE993" w14:textId="77777777" w:rsidR="00970F02" w:rsidRPr="006B2D4B" w:rsidRDefault="00970F02" w:rsidP="006B2D4B">
            <w:pPr>
              <w:contextualSpacing/>
              <w:rPr>
                <w:i/>
                <w:sz w:val="22"/>
                <w:szCs w:val="22"/>
                <w:lang w:eastAsia="en-US" w:bidi="lo-LA"/>
              </w:rPr>
            </w:pPr>
          </w:p>
        </w:tc>
      </w:tr>
      <w:tr w:rsidR="00970F02" w:rsidRPr="006B2D4B" w14:paraId="6A8AC8F3" w14:textId="77777777" w:rsidTr="000B7ECD">
        <w:tc>
          <w:tcPr>
            <w:tcW w:w="3118" w:type="dxa"/>
            <w:tcBorders>
              <w:top w:val="single" w:sz="4" w:space="0" w:color="000000"/>
              <w:left w:val="single" w:sz="4" w:space="0" w:color="000000"/>
              <w:bottom w:val="single" w:sz="4" w:space="0" w:color="000000"/>
              <w:right w:val="single" w:sz="4" w:space="0" w:color="000000"/>
            </w:tcBorders>
          </w:tcPr>
          <w:p w14:paraId="6F50BBEA" w14:textId="77777777" w:rsidR="00970F02" w:rsidRPr="006B2D4B" w:rsidRDefault="00970F02" w:rsidP="006B2D4B">
            <w:pPr>
              <w:contextualSpacing/>
              <w:rPr>
                <w:i/>
                <w:sz w:val="22"/>
                <w:szCs w:val="22"/>
                <w:lang w:eastAsia="en-US" w:bidi="lo-LA"/>
              </w:rPr>
            </w:pPr>
            <w:r w:rsidRPr="006B2D4B">
              <w:rPr>
                <w:i/>
                <w:sz w:val="22"/>
                <w:szCs w:val="22"/>
                <w:lang w:eastAsia="en-US"/>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745F81F" w14:textId="77777777" w:rsidR="00970F02" w:rsidRPr="006B2D4B" w:rsidRDefault="00970F02" w:rsidP="006B2D4B">
            <w:pPr>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24C7755" w14:textId="77777777" w:rsidR="00970F02" w:rsidRPr="006B2D4B" w:rsidRDefault="00970F02" w:rsidP="006B2D4B">
            <w:pPr>
              <w:contextualSpacing/>
              <w:rPr>
                <w:i/>
                <w:sz w:val="22"/>
                <w:szCs w:val="22"/>
                <w:lang w:eastAsia="en-US" w:bidi="lo-LA"/>
              </w:rPr>
            </w:pPr>
          </w:p>
        </w:tc>
      </w:tr>
      <w:tr w:rsidR="00970F02" w:rsidRPr="006B2D4B" w14:paraId="41881FBF" w14:textId="77777777" w:rsidTr="000B7ECD">
        <w:tc>
          <w:tcPr>
            <w:tcW w:w="3118" w:type="dxa"/>
            <w:tcBorders>
              <w:top w:val="single" w:sz="4" w:space="0" w:color="000000"/>
              <w:left w:val="single" w:sz="4" w:space="0" w:color="000000"/>
              <w:bottom w:val="single" w:sz="4" w:space="0" w:color="000000"/>
              <w:right w:val="single" w:sz="4" w:space="0" w:color="000000"/>
            </w:tcBorders>
          </w:tcPr>
          <w:p w14:paraId="694C00A5" w14:textId="77777777" w:rsidR="00970F02" w:rsidRPr="006B2D4B" w:rsidRDefault="00970F02" w:rsidP="006B2D4B">
            <w:pPr>
              <w:contextualSpacing/>
              <w:rPr>
                <w:i/>
                <w:sz w:val="22"/>
                <w:szCs w:val="22"/>
                <w:lang w:eastAsia="en-US" w:bidi="lo-LA"/>
              </w:rPr>
            </w:pPr>
            <w:r w:rsidRPr="006B2D4B">
              <w:rPr>
                <w:i/>
                <w:sz w:val="22"/>
                <w:szCs w:val="22"/>
                <w:lang w:eastAsia="en-US"/>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3C1A923" w14:textId="77777777" w:rsidR="00970F02" w:rsidRPr="006B2D4B" w:rsidRDefault="00970F02" w:rsidP="006B2D4B">
            <w:pPr>
              <w:contextualSpacing/>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7826C78" w14:textId="77777777" w:rsidR="00970F02" w:rsidRPr="006B2D4B" w:rsidRDefault="00970F02" w:rsidP="006B2D4B">
            <w:pPr>
              <w:contextualSpacing/>
              <w:rPr>
                <w:i/>
                <w:sz w:val="22"/>
                <w:szCs w:val="22"/>
                <w:lang w:eastAsia="en-US" w:bidi="lo-LA"/>
              </w:rPr>
            </w:pPr>
          </w:p>
        </w:tc>
      </w:tr>
      <w:tr w:rsidR="00970F02" w:rsidRPr="006B2D4B" w14:paraId="1ECEE2CD" w14:textId="77777777" w:rsidTr="000B7ECD">
        <w:tc>
          <w:tcPr>
            <w:tcW w:w="3118" w:type="dxa"/>
            <w:tcBorders>
              <w:top w:val="single" w:sz="4" w:space="0" w:color="000000"/>
              <w:left w:val="single" w:sz="4" w:space="0" w:color="000000"/>
              <w:bottom w:val="single" w:sz="4" w:space="0" w:color="000000"/>
              <w:right w:val="single" w:sz="4" w:space="0" w:color="000000"/>
            </w:tcBorders>
          </w:tcPr>
          <w:p w14:paraId="1E36A84C" w14:textId="77777777" w:rsidR="00970F02" w:rsidRPr="006B2D4B" w:rsidRDefault="00970F02" w:rsidP="006B2D4B">
            <w:pPr>
              <w:contextualSpacing/>
              <w:rPr>
                <w:i/>
                <w:sz w:val="22"/>
                <w:szCs w:val="22"/>
                <w:lang w:eastAsia="en-US" w:bidi="lo-LA"/>
              </w:rPr>
            </w:pPr>
            <w:r w:rsidRPr="006B2D4B">
              <w:rPr>
                <w:i/>
                <w:sz w:val="22"/>
                <w:szCs w:val="22"/>
                <w:lang w:eastAsia="en-US"/>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1E33125" w14:textId="77777777" w:rsidR="00970F02" w:rsidRPr="006B2D4B" w:rsidRDefault="00970F02" w:rsidP="006B2D4B">
            <w:pPr>
              <w:contextualSpacing/>
              <w:rPr>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3E1217E" w14:textId="77777777" w:rsidR="00970F02" w:rsidRPr="006B2D4B" w:rsidRDefault="00970F02" w:rsidP="006B2D4B">
            <w:pPr>
              <w:contextualSpacing/>
              <w:rPr>
                <w:i/>
                <w:sz w:val="22"/>
                <w:szCs w:val="22"/>
                <w:lang w:eastAsia="en-US" w:bidi="lo-LA"/>
              </w:rPr>
            </w:pPr>
          </w:p>
        </w:tc>
      </w:tr>
    </w:tbl>
    <w:p w14:paraId="01DF880D" w14:textId="77777777" w:rsidR="00970F02" w:rsidRPr="006B2D4B" w:rsidRDefault="00970F02" w:rsidP="006B2D4B">
      <w:pPr>
        <w:contextualSpacing/>
        <w:rPr>
          <w:sz w:val="24"/>
          <w:lang w:eastAsia="en-US"/>
        </w:rPr>
      </w:pPr>
    </w:p>
    <w:p w14:paraId="77730953" w14:textId="77777777" w:rsidR="00970F02" w:rsidRPr="006B2D4B" w:rsidRDefault="00970F02" w:rsidP="006B2D4B">
      <w:pPr>
        <w:contextualSpacing/>
        <w:jc w:val="both"/>
        <w:rPr>
          <w:lang w:eastAsia="en-US" w:bidi="lo-LA"/>
        </w:rPr>
      </w:pPr>
      <w:r w:rsidRPr="006B2D4B">
        <w:rPr>
          <w:b/>
          <w:lang w:eastAsia="en-US" w:bidi="lo-LA"/>
        </w:rPr>
        <w:t>*</w:t>
      </w:r>
      <w:r w:rsidRPr="006B2D4B">
        <w:rPr>
          <w:bCs/>
          <w:lang w:eastAsia="en-US"/>
        </w:rPr>
        <w:t xml:space="preserve"> Numatomo teisinio reguliavimo poveikio vertinimas atliekamas r</w:t>
      </w:r>
      <w:r w:rsidRPr="006B2D4B">
        <w:rPr>
          <w:lang w:eastAsia="en-US"/>
        </w:rPr>
        <w:t>engiant teisės akto, kuriuo numatoma reglamentuoti iki tol nereglamentuotus santykius, taip pat kuriuo iš esmės keičiamas teisinis reguliavimas, projektą.</w:t>
      </w:r>
      <w:r w:rsidRPr="006B2D4B">
        <w:rPr>
          <w:lang w:eastAsia="en-US" w:bidi="lo-LA"/>
        </w:rPr>
        <w:t xml:space="preserve"> </w:t>
      </w:r>
      <w:r w:rsidRPr="006B2D4B">
        <w:rPr>
          <w:lang w:eastAsia="en-US"/>
        </w:rPr>
        <w:t>Atliekant vertinimą, nustatomas galimas teigiamas ir neigiamas poveikis to teisinio reguliavimo sričiai, asmenims ar jų grupėms, kuriems bus taikomas numatomas teisinis reguliavimas.</w:t>
      </w:r>
    </w:p>
    <w:p w14:paraId="1339B49C" w14:textId="77777777" w:rsidR="00970F02" w:rsidRPr="006B2D4B" w:rsidRDefault="00970F02" w:rsidP="006B2D4B">
      <w:pPr>
        <w:contextualSpacing/>
        <w:rPr>
          <w:sz w:val="24"/>
          <w:szCs w:val="24"/>
          <w:lang w:eastAsia="en-US"/>
        </w:rPr>
      </w:pPr>
    </w:p>
    <w:p w14:paraId="27D28E07" w14:textId="77777777" w:rsidR="00970F02" w:rsidRPr="006B2D4B" w:rsidRDefault="00970F02" w:rsidP="006B2D4B">
      <w:pPr>
        <w:contextualSpacing/>
        <w:rPr>
          <w:sz w:val="24"/>
          <w:szCs w:val="24"/>
          <w:lang w:eastAsia="en-US"/>
        </w:rPr>
      </w:pPr>
    </w:p>
    <w:p w14:paraId="539F75B6" w14:textId="77777777" w:rsidR="00970F02" w:rsidRPr="006B2D4B" w:rsidRDefault="00970F02" w:rsidP="006B2D4B">
      <w:pPr>
        <w:widowControl w:val="0"/>
        <w:suppressAutoHyphens/>
        <w:contextualSpacing/>
        <w:rPr>
          <w:sz w:val="24"/>
          <w:szCs w:val="24"/>
          <w:lang w:eastAsia="en-US"/>
        </w:rPr>
      </w:pPr>
      <w:r w:rsidRPr="006B2D4B">
        <w:rPr>
          <w:sz w:val="24"/>
          <w:szCs w:val="24"/>
          <w:lang w:eastAsia="en-US"/>
        </w:rPr>
        <w:t>Švietimo, kultūros ir sporto skyriaus vedėja                                                    Vilma Dobrovolskienė</w:t>
      </w:r>
      <w:r w:rsidRPr="006B2D4B">
        <w:rPr>
          <w:sz w:val="24"/>
          <w:szCs w:val="24"/>
          <w:lang w:eastAsia="en-US"/>
        </w:rPr>
        <w:tab/>
      </w:r>
      <w:r w:rsidRPr="006B2D4B">
        <w:rPr>
          <w:sz w:val="24"/>
          <w:szCs w:val="24"/>
          <w:lang w:eastAsia="en-US"/>
        </w:rPr>
        <w:tab/>
      </w:r>
      <w:r w:rsidRPr="006B2D4B">
        <w:rPr>
          <w:sz w:val="24"/>
          <w:szCs w:val="24"/>
          <w:lang w:eastAsia="en-US"/>
        </w:rPr>
        <w:tab/>
      </w:r>
      <w:r w:rsidRPr="006B2D4B">
        <w:rPr>
          <w:sz w:val="24"/>
          <w:szCs w:val="24"/>
          <w:lang w:eastAsia="en-US"/>
        </w:rPr>
        <w:tab/>
        <w:t xml:space="preserve">            </w:t>
      </w:r>
    </w:p>
    <w:p w14:paraId="2773B8C9" w14:textId="77777777" w:rsidR="00970F02" w:rsidRPr="006B2D4B" w:rsidRDefault="00970F02" w:rsidP="006B2D4B">
      <w:pPr>
        <w:contextualSpacing/>
        <w:rPr>
          <w:sz w:val="24"/>
          <w:szCs w:val="24"/>
          <w:lang w:eastAsia="lt-LT"/>
        </w:rPr>
      </w:pPr>
    </w:p>
    <w:p w14:paraId="1D84BF8D" w14:textId="77777777" w:rsidR="00970F02" w:rsidRPr="006B2D4B" w:rsidRDefault="00970F02" w:rsidP="006B2D4B">
      <w:pPr>
        <w:contextualSpacing/>
        <w:rPr>
          <w:sz w:val="24"/>
          <w:szCs w:val="24"/>
          <w:lang w:eastAsia="lt-LT"/>
        </w:rPr>
      </w:pPr>
    </w:p>
    <w:p w14:paraId="08B55779" w14:textId="77777777" w:rsidR="00970F02" w:rsidRPr="006B2D4B" w:rsidRDefault="00970F02" w:rsidP="006B2D4B">
      <w:pPr>
        <w:contextualSpacing/>
        <w:rPr>
          <w:sz w:val="24"/>
          <w:szCs w:val="24"/>
          <w:lang w:eastAsia="lt-LT"/>
        </w:rPr>
      </w:pPr>
    </w:p>
    <w:p w14:paraId="2FE968DE" w14:textId="77777777" w:rsidR="00970F02" w:rsidRPr="006B2D4B" w:rsidRDefault="00970F02" w:rsidP="006B2D4B">
      <w:pPr>
        <w:contextualSpacing/>
        <w:jc w:val="both"/>
        <w:rPr>
          <w:sz w:val="24"/>
          <w:szCs w:val="24"/>
          <w:lang w:eastAsia="en-US"/>
        </w:rPr>
      </w:pPr>
    </w:p>
    <w:p w14:paraId="2868D10F" w14:textId="77777777" w:rsidR="00970F02" w:rsidRPr="006B2D4B" w:rsidRDefault="00970F02" w:rsidP="006B2D4B">
      <w:pPr>
        <w:contextualSpacing/>
        <w:jc w:val="both"/>
        <w:rPr>
          <w:sz w:val="24"/>
          <w:szCs w:val="24"/>
          <w:lang w:eastAsia="en-US"/>
        </w:rPr>
      </w:pPr>
    </w:p>
    <w:p w14:paraId="58290011" w14:textId="77777777" w:rsidR="00970F02" w:rsidRPr="006B2D4B" w:rsidRDefault="00970F02" w:rsidP="006B2D4B">
      <w:pPr>
        <w:contextualSpacing/>
        <w:jc w:val="both"/>
        <w:rPr>
          <w:sz w:val="24"/>
          <w:szCs w:val="24"/>
          <w:lang w:eastAsia="en-US"/>
        </w:rPr>
      </w:pPr>
    </w:p>
    <w:p w14:paraId="37F4814A" w14:textId="77777777" w:rsidR="00970F02" w:rsidRPr="006B2D4B" w:rsidRDefault="00970F02" w:rsidP="006B2D4B">
      <w:pPr>
        <w:contextualSpacing/>
        <w:rPr>
          <w:sz w:val="24"/>
          <w:szCs w:val="22"/>
          <w:lang w:eastAsia="en-US"/>
        </w:rPr>
      </w:pPr>
    </w:p>
    <w:p w14:paraId="3A10CA0D" w14:textId="77777777" w:rsidR="00970F02" w:rsidRPr="006B2D4B" w:rsidRDefault="00970F02" w:rsidP="006B2D4B">
      <w:pPr>
        <w:contextualSpacing/>
        <w:rPr>
          <w:b/>
          <w:sz w:val="24"/>
          <w:szCs w:val="24"/>
          <w:lang w:eastAsia="en-US"/>
        </w:rPr>
      </w:pPr>
    </w:p>
    <w:p w14:paraId="2074041B" w14:textId="08B85FE2" w:rsidR="00C60D9D" w:rsidRPr="006B2D4B" w:rsidRDefault="00C60D9D" w:rsidP="006B2D4B">
      <w:pPr>
        <w:contextualSpacing/>
        <w:jc w:val="both"/>
        <w:rPr>
          <w:i/>
          <w:iCs/>
          <w:sz w:val="24"/>
          <w:szCs w:val="24"/>
        </w:rPr>
      </w:pPr>
    </w:p>
    <w:sectPr w:rsidR="00C60D9D" w:rsidRPr="006B2D4B" w:rsidSect="00643828">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9110294">
    <w:abstractNumId w:val="0"/>
  </w:num>
  <w:num w:numId="2" w16cid:durableId="1261793340">
    <w:abstractNumId w:val="2"/>
  </w:num>
  <w:num w:numId="3" w16cid:durableId="572737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A24"/>
    <w:rsid w:val="00004DE3"/>
    <w:rsid w:val="000110E8"/>
    <w:rsid w:val="000137BD"/>
    <w:rsid w:val="00017122"/>
    <w:rsid w:val="00033B82"/>
    <w:rsid w:val="000346D6"/>
    <w:rsid w:val="0004225A"/>
    <w:rsid w:val="00046C12"/>
    <w:rsid w:val="000810B5"/>
    <w:rsid w:val="00096775"/>
    <w:rsid w:val="00096BA0"/>
    <w:rsid w:val="000A0B41"/>
    <w:rsid w:val="000A0F6D"/>
    <w:rsid w:val="000A4D55"/>
    <w:rsid w:val="000A678E"/>
    <w:rsid w:val="000A7227"/>
    <w:rsid w:val="000B1DD9"/>
    <w:rsid w:val="000C36E5"/>
    <w:rsid w:val="000E2D5D"/>
    <w:rsid w:val="000F14FE"/>
    <w:rsid w:val="000F306D"/>
    <w:rsid w:val="000F4C98"/>
    <w:rsid w:val="00117C9D"/>
    <w:rsid w:val="001200FD"/>
    <w:rsid w:val="001209F7"/>
    <w:rsid w:val="001229D5"/>
    <w:rsid w:val="00123A1B"/>
    <w:rsid w:val="001241B8"/>
    <w:rsid w:val="00124C5B"/>
    <w:rsid w:val="00130214"/>
    <w:rsid w:val="0014058C"/>
    <w:rsid w:val="00145548"/>
    <w:rsid w:val="00150094"/>
    <w:rsid w:val="00150318"/>
    <w:rsid w:val="00164A1B"/>
    <w:rsid w:val="00170399"/>
    <w:rsid w:val="001721A3"/>
    <w:rsid w:val="00173FD2"/>
    <w:rsid w:val="00177305"/>
    <w:rsid w:val="001812F7"/>
    <w:rsid w:val="00184A62"/>
    <w:rsid w:val="001978C8"/>
    <w:rsid w:val="001A3B73"/>
    <w:rsid w:val="001A665C"/>
    <w:rsid w:val="001B0841"/>
    <w:rsid w:val="001B5374"/>
    <w:rsid w:val="001C662F"/>
    <w:rsid w:val="001D32EF"/>
    <w:rsid w:val="001D5EF3"/>
    <w:rsid w:val="001D6C7F"/>
    <w:rsid w:val="001E53D2"/>
    <w:rsid w:val="001E584E"/>
    <w:rsid w:val="001F0222"/>
    <w:rsid w:val="001F0A0A"/>
    <w:rsid w:val="001F2A24"/>
    <w:rsid w:val="001F2D6E"/>
    <w:rsid w:val="001F6BB1"/>
    <w:rsid w:val="001F6CFF"/>
    <w:rsid w:val="002112F3"/>
    <w:rsid w:val="0022371C"/>
    <w:rsid w:val="0025493A"/>
    <w:rsid w:val="002556F6"/>
    <w:rsid w:val="00270C81"/>
    <w:rsid w:val="00271D08"/>
    <w:rsid w:val="00274A0F"/>
    <w:rsid w:val="00283EDB"/>
    <w:rsid w:val="00285219"/>
    <w:rsid w:val="002A0BF3"/>
    <w:rsid w:val="002A42E1"/>
    <w:rsid w:val="002A463A"/>
    <w:rsid w:val="002B6068"/>
    <w:rsid w:val="002C6359"/>
    <w:rsid w:val="002C7EAF"/>
    <w:rsid w:val="002E53FC"/>
    <w:rsid w:val="002E7741"/>
    <w:rsid w:val="00311D17"/>
    <w:rsid w:val="00337AF1"/>
    <w:rsid w:val="00343D3D"/>
    <w:rsid w:val="00343EBD"/>
    <w:rsid w:val="00345389"/>
    <w:rsid w:val="0034575B"/>
    <w:rsid w:val="0035370F"/>
    <w:rsid w:val="00360172"/>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6DF6"/>
    <w:rsid w:val="00447F23"/>
    <w:rsid w:val="00452D1E"/>
    <w:rsid w:val="004614F8"/>
    <w:rsid w:val="00462D48"/>
    <w:rsid w:val="00487CC4"/>
    <w:rsid w:val="004A0C87"/>
    <w:rsid w:val="004A68EB"/>
    <w:rsid w:val="004B43B1"/>
    <w:rsid w:val="004B5B47"/>
    <w:rsid w:val="004B6470"/>
    <w:rsid w:val="004D07EA"/>
    <w:rsid w:val="004D44E0"/>
    <w:rsid w:val="004D4564"/>
    <w:rsid w:val="004E0D05"/>
    <w:rsid w:val="004E411F"/>
    <w:rsid w:val="004F4656"/>
    <w:rsid w:val="00515ED8"/>
    <w:rsid w:val="00516B6A"/>
    <w:rsid w:val="00520BA9"/>
    <w:rsid w:val="005274B4"/>
    <w:rsid w:val="00543E0C"/>
    <w:rsid w:val="005548A7"/>
    <w:rsid w:val="0056341C"/>
    <w:rsid w:val="00565430"/>
    <w:rsid w:val="005674D1"/>
    <w:rsid w:val="00572F1F"/>
    <w:rsid w:val="00581C9F"/>
    <w:rsid w:val="00595137"/>
    <w:rsid w:val="005B55DD"/>
    <w:rsid w:val="005C7073"/>
    <w:rsid w:val="005E1CCC"/>
    <w:rsid w:val="005F2FF9"/>
    <w:rsid w:val="005F31E4"/>
    <w:rsid w:val="00601904"/>
    <w:rsid w:val="00621A3D"/>
    <w:rsid w:val="00626050"/>
    <w:rsid w:val="00630E38"/>
    <w:rsid w:val="006371B6"/>
    <w:rsid w:val="00643828"/>
    <w:rsid w:val="00665750"/>
    <w:rsid w:val="006753C9"/>
    <w:rsid w:val="00686094"/>
    <w:rsid w:val="006921D0"/>
    <w:rsid w:val="006974C1"/>
    <w:rsid w:val="006A06E6"/>
    <w:rsid w:val="006A3520"/>
    <w:rsid w:val="006A629E"/>
    <w:rsid w:val="006B2D4B"/>
    <w:rsid w:val="006B3D06"/>
    <w:rsid w:val="006E1658"/>
    <w:rsid w:val="006F33D1"/>
    <w:rsid w:val="006F50D0"/>
    <w:rsid w:val="00717CCA"/>
    <w:rsid w:val="00720DF8"/>
    <w:rsid w:val="00725A8B"/>
    <w:rsid w:val="007521E8"/>
    <w:rsid w:val="007605B5"/>
    <w:rsid w:val="0076466D"/>
    <w:rsid w:val="00767330"/>
    <w:rsid w:val="00775E12"/>
    <w:rsid w:val="00782937"/>
    <w:rsid w:val="007905D6"/>
    <w:rsid w:val="007B1874"/>
    <w:rsid w:val="007B1B1A"/>
    <w:rsid w:val="007B39BD"/>
    <w:rsid w:val="007B501A"/>
    <w:rsid w:val="007B5DCC"/>
    <w:rsid w:val="007C088B"/>
    <w:rsid w:val="007C70A5"/>
    <w:rsid w:val="007D042A"/>
    <w:rsid w:val="007D43F3"/>
    <w:rsid w:val="007D6049"/>
    <w:rsid w:val="007E0C25"/>
    <w:rsid w:val="007E4E77"/>
    <w:rsid w:val="007F23B6"/>
    <w:rsid w:val="00801A13"/>
    <w:rsid w:val="00822FD3"/>
    <w:rsid w:val="00832DCD"/>
    <w:rsid w:val="00854E18"/>
    <w:rsid w:val="00857840"/>
    <w:rsid w:val="00871381"/>
    <w:rsid w:val="00883E47"/>
    <w:rsid w:val="008863E3"/>
    <w:rsid w:val="00892CC2"/>
    <w:rsid w:val="00897A1A"/>
    <w:rsid w:val="008A0D45"/>
    <w:rsid w:val="008B37A4"/>
    <w:rsid w:val="008C0189"/>
    <w:rsid w:val="008D22A6"/>
    <w:rsid w:val="008D4C0A"/>
    <w:rsid w:val="008E1035"/>
    <w:rsid w:val="008E6F4E"/>
    <w:rsid w:val="008F2781"/>
    <w:rsid w:val="008F3487"/>
    <w:rsid w:val="008F6EF0"/>
    <w:rsid w:val="008F76D5"/>
    <w:rsid w:val="009201A0"/>
    <w:rsid w:val="00923DF7"/>
    <w:rsid w:val="00925C65"/>
    <w:rsid w:val="00926E8E"/>
    <w:rsid w:val="00933A19"/>
    <w:rsid w:val="00942554"/>
    <w:rsid w:val="009633D1"/>
    <w:rsid w:val="00965459"/>
    <w:rsid w:val="00970F02"/>
    <w:rsid w:val="0098268D"/>
    <w:rsid w:val="00984FA6"/>
    <w:rsid w:val="0098512F"/>
    <w:rsid w:val="00985F2B"/>
    <w:rsid w:val="00991BBC"/>
    <w:rsid w:val="009B0568"/>
    <w:rsid w:val="009D1913"/>
    <w:rsid w:val="009D7760"/>
    <w:rsid w:val="009E2873"/>
    <w:rsid w:val="00A000F7"/>
    <w:rsid w:val="00A03EE2"/>
    <w:rsid w:val="00A12FF1"/>
    <w:rsid w:val="00A21D8C"/>
    <w:rsid w:val="00A24518"/>
    <w:rsid w:val="00A4107D"/>
    <w:rsid w:val="00A5107D"/>
    <w:rsid w:val="00A52806"/>
    <w:rsid w:val="00A57E97"/>
    <w:rsid w:val="00A651EF"/>
    <w:rsid w:val="00A67000"/>
    <w:rsid w:val="00A7637B"/>
    <w:rsid w:val="00A9502E"/>
    <w:rsid w:val="00AB7A14"/>
    <w:rsid w:val="00AD01E2"/>
    <w:rsid w:val="00AD18E3"/>
    <w:rsid w:val="00AD1B6C"/>
    <w:rsid w:val="00AD6604"/>
    <w:rsid w:val="00AF0B97"/>
    <w:rsid w:val="00B06FF8"/>
    <w:rsid w:val="00B11926"/>
    <w:rsid w:val="00B23EBB"/>
    <w:rsid w:val="00B53BC5"/>
    <w:rsid w:val="00B70BC5"/>
    <w:rsid w:val="00BA4EF3"/>
    <w:rsid w:val="00BC3B0E"/>
    <w:rsid w:val="00BC4843"/>
    <w:rsid w:val="00C02DF3"/>
    <w:rsid w:val="00C10ADE"/>
    <w:rsid w:val="00C11C87"/>
    <w:rsid w:val="00C11FBC"/>
    <w:rsid w:val="00C214F4"/>
    <w:rsid w:val="00C23FA8"/>
    <w:rsid w:val="00C30F5C"/>
    <w:rsid w:val="00C32F38"/>
    <w:rsid w:val="00C41C59"/>
    <w:rsid w:val="00C43B7D"/>
    <w:rsid w:val="00C445A9"/>
    <w:rsid w:val="00C479C3"/>
    <w:rsid w:val="00C56185"/>
    <w:rsid w:val="00C57043"/>
    <w:rsid w:val="00C60D9D"/>
    <w:rsid w:val="00C613A5"/>
    <w:rsid w:val="00C63959"/>
    <w:rsid w:val="00C63CCD"/>
    <w:rsid w:val="00C63DAE"/>
    <w:rsid w:val="00C67C96"/>
    <w:rsid w:val="00C70FA8"/>
    <w:rsid w:val="00CA3D28"/>
    <w:rsid w:val="00CC76D8"/>
    <w:rsid w:val="00CD5D26"/>
    <w:rsid w:val="00CE4BFE"/>
    <w:rsid w:val="00CE54C3"/>
    <w:rsid w:val="00CF3D47"/>
    <w:rsid w:val="00D01556"/>
    <w:rsid w:val="00D03FC0"/>
    <w:rsid w:val="00D3142A"/>
    <w:rsid w:val="00D35804"/>
    <w:rsid w:val="00D43552"/>
    <w:rsid w:val="00D50B9B"/>
    <w:rsid w:val="00D5120C"/>
    <w:rsid w:val="00D51D1D"/>
    <w:rsid w:val="00D52767"/>
    <w:rsid w:val="00D608B7"/>
    <w:rsid w:val="00D65BB7"/>
    <w:rsid w:val="00D66F6D"/>
    <w:rsid w:val="00D71C2F"/>
    <w:rsid w:val="00D86C5E"/>
    <w:rsid w:val="00D90A1B"/>
    <w:rsid w:val="00D93BB9"/>
    <w:rsid w:val="00D960B8"/>
    <w:rsid w:val="00DA15BA"/>
    <w:rsid w:val="00DA7EB8"/>
    <w:rsid w:val="00DC1A68"/>
    <w:rsid w:val="00DD5085"/>
    <w:rsid w:val="00DE594E"/>
    <w:rsid w:val="00DF19A8"/>
    <w:rsid w:val="00DF4A82"/>
    <w:rsid w:val="00E01F94"/>
    <w:rsid w:val="00E11596"/>
    <w:rsid w:val="00E15A26"/>
    <w:rsid w:val="00E543D8"/>
    <w:rsid w:val="00E91B78"/>
    <w:rsid w:val="00E95ED4"/>
    <w:rsid w:val="00EA42B2"/>
    <w:rsid w:val="00EB4176"/>
    <w:rsid w:val="00ED0BCE"/>
    <w:rsid w:val="00ED4595"/>
    <w:rsid w:val="00ED7214"/>
    <w:rsid w:val="00EF4612"/>
    <w:rsid w:val="00F12490"/>
    <w:rsid w:val="00F15AB1"/>
    <w:rsid w:val="00F22F3E"/>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table" w:customStyle="1" w:styleId="Lentelstinklelis1">
    <w:name w:val="Lentelės tinklelis1"/>
    <w:basedOn w:val="prastojilentel"/>
    <w:next w:val="Lentelstinklelis"/>
    <w:uiPriority w:val="39"/>
    <w:rsid w:val="00E11596"/>
    <w:rPr>
      <w:rFonts w:eastAsia="Calibri"/>
      <w:sz w:val="24"/>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E11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8D3C-00F7-4EF5-9445-3F52A270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7294</Words>
  <Characters>4158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Kėdainių raj. sav. administracija</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12</cp:revision>
  <cp:lastPrinted>2025-04-29T11:50:00Z</cp:lastPrinted>
  <dcterms:created xsi:type="dcterms:W3CDTF">2025-05-08T11:57:00Z</dcterms:created>
  <dcterms:modified xsi:type="dcterms:W3CDTF">2025-05-19T13:33:00Z</dcterms:modified>
</cp:coreProperties>
</file>