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1E32" w14:textId="5CC80870" w:rsidR="00343285" w:rsidRDefault="007F4909">
      <w:pPr>
        <w:tabs>
          <w:tab w:val="left" w:pos="5040"/>
        </w:tabs>
        <w:jc w:val="center"/>
        <w:rPr>
          <w:b/>
          <w:bCs/>
          <w:szCs w:val="24"/>
        </w:rPr>
      </w:pPr>
      <w:r>
        <w:rPr>
          <w:b/>
          <w:noProof/>
          <w:szCs w:val="24"/>
          <w:lang w:eastAsia="lt-LT"/>
        </w:rPr>
        <w:drawing>
          <wp:inline distT="0" distB="0" distL="0" distR="0" wp14:anchorId="61D72897" wp14:editId="19DD6067">
            <wp:extent cx="457200" cy="534670"/>
            <wp:effectExtent l="0" t="0" r="0" b="0"/>
            <wp:docPr id="10947063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34670"/>
                    </a:xfrm>
                    <a:prstGeom prst="rect">
                      <a:avLst/>
                    </a:prstGeom>
                    <a:noFill/>
                    <a:ln>
                      <a:noFill/>
                    </a:ln>
                  </pic:spPr>
                </pic:pic>
              </a:graphicData>
            </a:graphic>
          </wp:inline>
        </w:drawing>
      </w:r>
    </w:p>
    <w:p w14:paraId="41BC28E0" w14:textId="77777777" w:rsidR="00343285" w:rsidRDefault="007F4909">
      <w:pPr>
        <w:jc w:val="center"/>
        <w:rPr>
          <w:b/>
          <w:lang w:eastAsia="zh-CN"/>
        </w:rPr>
      </w:pPr>
      <w:r>
        <w:rPr>
          <w:b/>
          <w:lang w:eastAsia="zh-CN"/>
        </w:rPr>
        <w:t>KĖDAINIŲ RAJONO SAVIVALDYBĖS ADMINISTRACIJOS DIREKTORIUS</w:t>
      </w:r>
    </w:p>
    <w:p w14:paraId="6A78E281" w14:textId="77777777" w:rsidR="00343285" w:rsidRDefault="00343285">
      <w:pPr>
        <w:jc w:val="center"/>
        <w:rPr>
          <w:b/>
          <w:szCs w:val="24"/>
          <w:lang w:eastAsia="en-GB"/>
        </w:rPr>
      </w:pPr>
    </w:p>
    <w:p w14:paraId="3A96537E" w14:textId="77777777" w:rsidR="00343285" w:rsidRDefault="007F4909">
      <w:pPr>
        <w:jc w:val="center"/>
        <w:rPr>
          <w:b/>
          <w:szCs w:val="24"/>
          <w:lang w:eastAsia="en-GB"/>
        </w:rPr>
      </w:pPr>
      <w:r>
        <w:rPr>
          <w:b/>
          <w:szCs w:val="24"/>
          <w:lang w:eastAsia="en-GB"/>
        </w:rPr>
        <w:t>ĮSAKYMAS</w:t>
      </w:r>
    </w:p>
    <w:p w14:paraId="340DE071" w14:textId="2BCD9E97" w:rsidR="00343285" w:rsidRPr="00A67DB0" w:rsidRDefault="007F4909">
      <w:pPr>
        <w:jc w:val="center"/>
        <w:rPr>
          <w:b/>
          <w:szCs w:val="24"/>
          <w:lang w:eastAsia="en-GB"/>
        </w:rPr>
      </w:pPr>
      <w:r w:rsidRPr="00A67DB0">
        <w:rPr>
          <w:b/>
          <w:szCs w:val="24"/>
          <w:lang w:eastAsia="en-GB"/>
        </w:rPr>
        <w:t>DĖL KĖDAINIŲ RAJONO SAVIVALDYBĖS ADMINISTRACIJOS DIREKTORIAUS 2024 M. BALANDŽIO 9 D. ĮSAKYMO NR. AD-1-249 „DĖL KĖDAINIŲ RAJONO SAVIVALDYBĖS VAIKŲ VASAROS STOVYKLŲ IR KITŲ NEFORMALIOJO VAIKŲ ŠVIETIMO VEIKLŲ PROGRAMŲ KONKURSO TVARKOS APRAŠO PATVIRTINIMO“ PAKEITIMO</w:t>
      </w:r>
    </w:p>
    <w:p w14:paraId="13681676" w14:textId="77777777" w:rsidR="00343285" w:rsidRPr="00A67DB0" w:rsidRDefault="00343285">
      <w:pPr>
        <w:jc w:val="center"/>
        <w:rPr>
          <w:szCs w:val="24"/>
          <w:lang w:eastAsia="en-GB"/>
        </w:rPr>
      </w:pPr>
    </w:p>
    <w:p w14:paraId="4CC734FF" w14:textId="34B4052B" w:rsidR="00343285" w:rsidRPr="00A67DB0" w:rsidRDefault="007F4909">
      <w:pPr>
        <w:jc w:val="center"/>
        <w:rPr>
          <w:szCs w:val="24"/>
          <w:lang w:eastAsia="lt-LT"/>
        </w:rPr>
      </w:pPr>
      <w:r w:rsidRPr="00A67DB0">
        <w:rPr>
          <w:szCs w:val="24"/>
          <w:lang w:eastAsia="en-GB"/>
        </w:rPr>
        <w:t>202</w:t>
      </w:r>
      <w:r w:rsidR="007B0096" w:rsidRPr="00A67DB0">
        <w:rPr>
          <w:szCs w:val="24"/>
          <w:lang w:eastAsia="en-GB"/>
        </w:rPr>
        <w:t>5</w:t>
      </w:r>
      <w:r w:rsidRPr="00A67DB0">
        <w:rPr>
          <w:szCs w:val="24"/>
          <w:lang w:eastAsia="en-GB"/>
        </w:rPr>
        <w:t xml:space="preserve"> m.</w:t>
      </w:r>
      <w:r w:rsidR="005B7331">
        <w:rPr>
          <w:szCs w:val="24"/>
          <w:lang w:eastAsia="en-GB"/>
        </w:rPr>
        <w:t xml:space="preserve"> balandžio 1 </w:t>
      </w:r>
      <w:r w:rsidRPr="00A67DB0">
        <w:rPr>
          <w:szCs w:val="24"/>
          <w:lang w:eastAsia="en-GB"/>
        </w:rPr>
        <w:t xml:space="preserve">d. Nr. </w:t>
      </w:r>
      <w:r w:rsidRPr="00A67DB0">
        <w:t>AD-1-</w:t>
      </w:r>
      <w:r w:rsidR="005B7331">
        <w:t>351</w:t>
      </w:r>
    </w:p>
    <w:p w14:paraId="773F3AC9" w14:textId="77777777" w:rsidR="00343285" w:rsidRPr="00A67DB0" w:rsidRDefault="007F4909">
      <w:pPr>
        <w:jc w:val="center"/>
        <w:rPr>
          <w:szCs w:val="24"/>
          <w:lang w:eastAsia="en-GB"/>
        </w:rPr>
      </w:pPr>
      <w:r w:rsidRPr="00A67DB0">
        <w:rPr>
          <w:szCs w:val="24"/>
          <w:lang w:eastAsia="en-GB"/>
        </w:rPr>
        <w:t>Kėdainiai</w:t>
      </w:r>
    </w:p>
    <w:p w14:paraId="472A514E" w14:textId="77777777" w:rsidR="00343285" w:rsidRPr="00A67DB0" w:rsidRDefault="00343285">
      <w:pPr>
        <w:rPr>
          <w:szCs w:val="24"/>
          <w:lang w:eastAsia="en-GB"/>
        </w:rPr>
      </w:pPr>
    </w:p>
    <w:p w14:paraId="241CAE8C" w14:textId="78491A4C" w:rsidR="00343285" w:rsidRPr="00A67DB0" w:rsidRDefault="007F4909">
      <w:pPr>
        <w:ind w:firstLine="805"/>
        <w:jc w:val="both"/>
        <w:rPr>
          <w:szCs w:val="24"/>
          <w:lang w:eastAsia="lt-LT"/>
        </w:rPr>
      </w:pPr>
      <w:r w:rsidRPr="00A67DB0">
        <w:rPr>
          <w:spacing w:val="80"/>
          <w:szCs w:val="24"/>
          <w:lang w:eastAsia="en-GB"/>
        </w:rPr>
        <w:t>Pakeiči</w:t>
      </w:r>
      <w:r w:rsidRPr="00A67DB0">
        <w:rPr>
          <w:szCs w:val="24"/>
          <w:lang w:eastAsia="en-GB"/>
        </w:rPr>
        <w:t>u</w:t>
      </w:r>
      <w:r w:rsidRPr="00A67DB0">
        <w:rPr>
          <w:szCs w:val="24"/>
          <w:lang w:eastAsia="lt-LT"/>
        </w:rPr>
        <w:t xml:space="preserve"> </w:t>
      </w:r>
      <w:r w:rsidR="00C73EF0">
        <w:rPr>
          <w:szCs w:val="24"/>
          <w:lang w:eastAsia="en-GB"/>
        </w:rPr>
        <w:t xml:space="preserve"> </w:t>
      </w:r>
      <w:r w:rsidRPr="00A67DB0">
        <w:rPr>
          <w:szCs w:val="24"/>
          <w:lang w:eastAsia="en-GB"/>
        </w:rPr>
        <w:t>Kėdainių rajono savivaldybės administracijos direktoriaus 2024 m. balandžio 9 d. įsakym</w:t>
      </w:r>
      <w:r w:rsidR="00C73EF0">
        <w:rPr>
          <w:szCs w:val="24"/>
          <w:lang w:eastAsia="en-GB"/>
        </w:rPr>
        <w:t>ą</w:t>
      </w:r>
      <w:r w:rsidRPr="00A67DB0">
        <w:rPr>
          <w:szCs w:val="24"/>
          <w:lang w:eastAsia="en-GB"/>
        </w:rPr>
        <w:t xml:space="preserve"> Nr. AD-1-249 „Dėl Kėdainių rajono savivaldybės vaikų vasaros stovyklų ir kitų neformaliojo vaikų švietimo veiklų programų konkurso tvarkos aprašo patvirtinimo“</w:t>
      </w:r>
      <w:r w:rsidRPr="00A67DB0">
        <w:rPr>
          <w:szCs w:val="24"/>
          <w:lang w:eastAsia="lt-LT"/>
        </w:rPr>
        <w:t xml:space="preserve">: </w:t>
      </w:r>
    </w:p>
    <w:p w14:paraId="24773725" w14:textId="2782D8A9" w:rsidR="007B0096" w:rsidRPr="00A67DB0" w:rsidRDefault="00C73EF0" w:rsidP="00BA2830">
      <w:pPr>
        <w:pStyle w:val="ListParagraph"/>
        <w:numPr>
          <w:ilvl w:val="0"/>
          <w:numId w:val="2"/>
        </w:numPr>
        <w:jc w:val="both"/>
        <w:rPr>
          <w:bCs/>
          <w:szCs w:val="24"/>
          <w:lang w:eastAsia="lt-LT"/>
        </w:rPr>
      </w:pPr>
      <w:r>
        <w:rPr>
          <w:bCs/>
          <w:szCs w:val="24"/>
          <w:lang w:eastAsia="lt-LT"/>
        </w:rPr>
        <w:t xml:space="preserve"> </w:t>
      </w:r>
      <w:r w:rsidR="007B0096" w:rsidRPr="00A67DB0">
        <w:rPr>
          <w:bCs/>
          <w:szCs w:val="24"/>
          <w:lang w:eastAsia="lt-LT"/>
        </w:rPr>
        <w:t xml:space="preserve">Pakeičiu preambulę ir </w:t>
      </w:r>
      <w:r w:rsidR="007B0096" w:rsidRPr="00A67DB0">
        <w:rPr>
          <w:szCs w:val="24"/>
        </w:rPr>
        <w:t>ją išdėstau taip:</w:t>
      </w:r>
    </w:p>
    <w:p w14:paraId="3695B475" w14:textId="09A4C288" w:rsidR="007B0096" w:rsidRPr="00A67DB0" w:rsidRDefault="007B0096" w:rsidP="007B0096">
      <w:pPr>
        <w:ind w:firstLine="805"/>
        <w:jc w:val="both"/>
        <w:rPr>
          <w:szCs w:val="24"/>
        </w:rPr>
      </w:pPr>
      <w:r w:rsidRPr="00A67DB0">
        <w:rPr>
          <w:szCs w:val="24"/>
        </w:rPr>
        <w:t xml:space="preserve">„Vadovaudamasis Lietuvos Respublikos vietos savivaldos įstatymo 6 straipsnio </w:t>
      </w:r>
      <w:r w:rsidR="004E4051" w:rsidRPr="00A67DB0">
        <w:rPr>
          <w:szCs w:val="24"/>
        </w:rPr>
        <w:t>8</w:t>
      </w:r>
      <w:r w:rsidRPr="00A67DB0">
        <w:rPr>
          <w:szCs w:val="24"/>
        </w:rPr>
        <w:t xml:space="preserve"> punktu, 34 straipsnio 6 dalies 1 ir 2 punktais:“.</w:t>
      </w:r>
    </w:p>
    <w:p w14:paraId="3A2F1184" w14:textId="2050DB82" w:rsidR="00343285" w:rsidRPr="00A67DB0" w:rsidRDefault="00032DDF" w:rsidP="00032DDF">
      <w:pPr>
        <w:pStyle w:val="ListParagraph"/>
        <w:numPr>
          <w:ilvl w:val="0"/>
          <w:numId w:val="2"/>
        </w:numPr>
        <w:ind w:left="0" w:firstLine="851"/>
        <w:jc w:val="both"/>
        <w:rPr>
          <w:szCs w:val="24"/>
          <w:lang w:eastAsia="lt-LT"/>
        </w:rPr>
      </w:pPr>
      <w:r w:rsidRPr="00A67DB0">
        <w:rPr>
          <w:szCs w:val="24"/>
        </w:rPr>
        <w:t xml:space="preserve">Pakeičiu nurodytu įsakymu patvirtintą </w:t>
      </w:r>
      <w:r w:rsidRPr="00A67DB0">
        <w:rPr>
          <w:szCs w:val="24"/>
          <w:lang w:eastAsia="en-GB"/>
        </w:rPr>
        <w:t>Kėdainių rajono savivaldybės vaikų vasaros stovyklų ir kitų neformaliojo vaikų švietimo veiklų programų konkurso tvarkos aprašą</w:t>
      </w:r>
      <w:r w:rsidR="007F4909" w:rsidRPr="00A67DB0">
        <w:rPr>
          <w:szCs w:val="24"/>
        </w:rPr>
        <w:t>:</w:t>
      </w:r>
    </w:p>
    <w:p w14:paraId="35867528" w14:textId="6617541B" w:rsidR="00032DDF" w:rsidRPr="00A67DB0" w:rsidRDefault="00A405B1" w:rsidP="00A405B1">
      <w:pPr>
        <w:pStyle w:val="ListParagraph"/>
        <w:numPr>
          <w:ilvl w:val="1"/>
          <w:numId w:val="2"/>
        </w:numPr>
        <w:tabs>
          <w:tab w:val="left" w:pos="1276"/>
          <w:tab w:val="left" w:pos="1418"/>
        </w:tabs>
        <w:ind w:left="0" w:firstLine="851"/>
        <w:jc w:val="both"/>
        <w:rPr>
          <w:szCs w:val="24"/>
          <w:lang w:eastAsia="lt-LT"/>
        </w:rPr>
      </w:pPr>
      <w:r w:rsidRPr="00A67DB0">
        <w:rPr>
          <w:szCs w:val="24"/>
          <w:lang w:eastAsia="lt-LT"/>
        </w:rPr>
        <w:t>Pakeičiu 3 punktą ir jį išdėstau taip:</w:t>
      </w:r>
    </w:p>
    <w:p w14:paraId="01D945D7" w14:textId="0AC35289" w:rsidR="00343285" w:rsidRPr="00A67DB0" w:rsidRDefault="00B75162">
      <w:pPr>
        <w:ind w:firstLine="805"/>
        <w:jc w:val="both"/>
        <w:rPr>
          <w:szCs w:val="24"/>
        </w:rPr>
      </w:pPr>
      <w:r w:rsidRPr="00A67DB0">
        <w:rPr>
          <w:szCs w:val="24"/>
        </w:rPr>
        <w:t xml:space="preserve"> </w:t>
      </w:r>
      <w:r w:rsidR="007F4909" w:rsidRPr="00A67DB0">
        <w:rPr>
          <w:szCs w:val="24"/>
        </w:rPr>
        <w:t xml:space="preserve">„3. </w:t>
      </w:r>
      <w:r w:rsidR="00A405B1" w:rsidRPr="00A67DB0">
        <w:rPr>
          <w:rFonts w:eastAsia="Arial"/>
          <w:szCs w:val="24"/>
          <w:lang w:eastAsia="ar-SA"/>
        </w:rPr>
        <w:t xml:space="preserve">Lėšos </w:t>
      </w:r>
      <w:r w:rsidR="00A405B1" w:rsidRPr="00A67DB0">
        <w:rPr>
          <w:szCs w:val="24"/>
          <w:lang w:eastAsia="en-GB"/>
        </w:rPr>
        <w:t>vaikų vasaros stovyklų ir kitų neformaliojo vaikų švietimo veiklų programoms</w:t>
      </w:r>
      <w:r w:rsidR="00A405B1" w:rsidRPr="00A67DB0">
        <w:rPr>
          <w:rFonts w:eastAsia="Arial"/>
          <w:szCs w:val="24"/>
          <w:lang w:eastAsia="ar-SA"/>
        </w:rPr>
        <w:t xml:space="preserve"> finansuoti </w:t>
      </w:r>
      <w:r w:rsidR="00A405B1" w:rsidRPr="00A67DB0">
        <w:rPr>
          <w:rFonts w:eastAsia="Calibri"/>
          <w:szCs w:val="24"/>
        </w:rPr>
        <w:t>kiekvienais metais</w:t>
      </w:r>
      <w:r w:rsidR="00A405B1" w:rsidRPr="00A67DB0">
        <w:rPr>
          <w:rFonts w:eastAsia="Arial"/>
          <w:szCs w:val="24"/>
          <w:lang w:eastAsia="ar-SA"/>
        </w:rPr>
        <w:t xml:space="preserve"> yra planuojamos Kėdainių rajono savivaldybės (toliau – Savivaldybė) strateginio veiklos plano </w:t>
      </w:r>
      <w:r w:rsidR="00A405B1" w:rsidRPr="00A67DB0">
        <w:rPr>
          <w:rFonts w:eastAsia="Arial"/>
          <w:i/>
          <w:iCs/>
          <w:szCs w:val="24"/>
          <w:lang w:eastAsia="ar-SA"/>
        </w:rPr>
        <w:t>01</w:t>
      </w:r>
      <w:r w:rsidR="00A405B1" w:rsidRPr="00A67DB0">
        <w:rPr>
          <w:rFonts w:eastAsia="Calibri"/>
          <w:i/>
          <w:iCs/>
          <w:szCs w:val="24"/>
        </w:rPr>
        <w:t xml:space="preserve"> </w:t>
      </w:r>
      <w:r w:rsidR="00A405B1" w:rsidRPr="00A67DB0">
        <w:rPr>
          <w:i/>
          <w:iCs/>
          <w:szCs w:val="24"/>
        </w:rPr>
        <w:t xml:space="preserve">Aktyvios visuomenės ugdymo programoje </w:t>
      </w:r>
      <w:r w:rsidR="00A405B1" w:rsidRPr="00A67DB0">
        <w:rPr>
          <w:rFonts w:eastAsia="Calibri"/>
          <w:szCs w:val="24"/>
        </w:rPr>
        <w:t xml:space="preserve">ir numatomos Savivaldybės administracijos asignavimuose </w:t>
      </w:r>
      <w:r w:rsidR="00A405B1" w:rsidRPr="00A67DB0">
        <w:rPr>
          <w:rFonts w:eastAsia="Arial"/>
          <w:szCs w:val="24"/>
          <w:lang w:eastAsia="ar-SA"/>
        </w:rPr>
        <w:t>(toliau – Savivaldybės biudžetas)</w:t>
      </w:r>
      <w:r w:rsidR="00424FC7" w:rsidRPr="00A67DB0">
        <w:rPr>
          <w:rFonts w:eastAsia="Calibri"/>
          <w:szCs w:val="24"/>
        </w:rPr>
        <w:t>.</w:t>
      </w:r>
      <w:r w:rsidR="00A405B1" w:rsidRPr="00A67DB0">
        <w:rPr>
          <w:rFonts w:eastAsia="Calibri"/>
          <w:szCs w:val="24"/>
        </w:rPr>
        <w:t xml:space="preserve"> </w:t>
      </w:r>
      <w:r w:rsidR="007F4909" w:rsidRPr="00A67DB0">
        <w:rPr>
          <w:szCs w:val="24"/>
        </w:rPr>
        <w:t>Likus nepanaudotų lėšų, gali būti finansuojamos 8.7 papunktyje nurodytų Stovyklų programos</w:t>
      </w:r>
      <w:r w:rsidR="00A405B1" w:rsidRPr="00A67DB0">
        <w:rPr>
          <w:szCs w:val="24"/>
        </w:rPr>
        <w:t>.</w:t>
      </w:r>
      <w:r w:rsidR="007F4909" w:rsidRPr="00A67DB0">
        <w:rPr>
          <w:szCs w:val="24"/>
        </w:rPr>
        <w:t>“</w:t>
      </w:r>
    </w:p>
    <w:p w14:paraId="77FC173D" w14:textId="7A09E019" w:rsidR="00343285" w:rsidRPr="00A67DB0" w:rsidRDefault="00A405B1" w:rsidP="00A405B1">
      <w:pPr>
        <w:pStyle w:val="ListParagraph"/>
        <w:numPr>
          <w:ilvl w:val="1"/>
          <w:numId w:val="2"/>
        </w:numPr>
        <w:jc w:val="both"/>
        <w:rPr>
          <w:szCs w:val="24"/>
        </w:rPr>
      </w:pPr>
      <w:r w:rsidRPr="00A67DB0">
        <w:rPr>
          <w:szCs w:val="24"/>
        </w:rPr>
        <w:t xml:space="preserve"> </w:t>
      </w:r>
      <w:r w:rsidR="007F4909" w:rsidRPr="00A67DB0">
        <w:rPr>
          <w:szCs w:val="24"/>
        </w:rPr>
        <w:t xml:space="preserve">Pakeičiu </w:t>
      </w:r>
      <w:r w:rsidRPr="00A67DB0">
        <w:rPr>
          <w:szCs w:val="24"/>
        </w:rPr>
        <w:t>5</w:t>
      </w:r>
      <w:r w:rsidR="007F4909" w:rsidRPr="00A67DB0">
        <w:rPr>
          <w:szCs w:val="24"/>
        </w:rPr>
        <w:t xml:space="preserve"> punktą ir jį išdėstau taip:</w:t>
      </w:r>
    </w:p>
    <w:p w14:paraId="45767A1A" w14:textId="5A720A31" w:rsidR="00A405B1" w:rsidRPr="00A67DB0" w:rsidRDefault="00A405B1" w:rsidP="00A405B1">
      <w:pPr>
        <w:pStyle w:val="ListParagraph"/>
        <w:ind w:left="0" w:firstLine="851"/>
        <w:jc w:val="both"/>
        <w:rPr>
          <w:szCs w:val="24"/>
        </w:rPr>
      </w:pPr>
      <w:r w:rsidRPr="00A67DB0">
        <w:rPr>
          <w:szCs w:val="24"/>
        </w:rPr>
        <w:t xml:space="preserve">„5. Konkursą </w:t>
      </w:r>
      <w:r w:rsidRPr="00A67DB0">
        <w:rPr>
          <w:rFonts w:eastAsia="SimSun;宋体"/>
          <w:szCs w:val="24"/>
          <w:lang w:bidi="hi-IN"/>
        </w:rPr>
        <w:t>organizuoja Kėdainių rajono savivaldybės administracij</w:t>
      </w:r>
      <w:r w:rsidR="00137425" w:rsidRPr="00A67DB0">
        <w:rPr>
          <w:rFonts w:eastAsia="SimSun;宋体"/>
          <w:szCs w:val="24"/>
          <w:lang w:bidi="hi-IN"/>
        </w:rPr>
        <w:t>os</w:t>
      </w:r>
      <w:r w:rsidRPr="00A67DB0">
        <w:rPr>
          <w:rFonts w:eastAsia="SimSun;宋体"/>
          <w:szCs w:val="24"/>
          <w:lang w:bidi="hi-IN"/>
        </w:rPr>
        <w:t xml:space="preserve"> (toliau – Savivaldybės administracija)</w:t>
      </w:r>
      <w:r w:rsidR="00137425" w:rsidRPr="00A67DB0">
        <w:rPr>
          <w:rFonts w:eastAsia="SimSun;宋体"/>
          <w:szCs w:val="24"/>
          <w:lang w:bidi="hi-IN"/>
        </w:rPr>
        <w:t xml:space="preserve"> Švietimo, kultūros ir sporto skyrius</w:t>
      </w:r>
      <w:r w:rsidRPr="00A67DB0">
        <w:rPr>
          <w:rFonts w:eastAsia="SimSun;宋体"/>
          <w:szCs w:val="24"/>
          <w:lang w:bidi="hi-IN"/>
        </w:rPr>
        <w:t>, vadovaudamasi</w:t>
      </w:r>
      <w:r w:rsidR="00137425" w:rsidRPr="00A67DB0">
        <w:rPr>
          <w:rFonts w:eastAsia="SimSun;宋体"/>
          <w:szCs w:val="24"/>
          <w:lang w:bidi="hi-IN"/>
        </w:rPr>
        <w:t>s</w:t>
      </w:r>
      <w:r w:rsidRPr="00A67DB0">
        <w:rPr>
          <w:rFonts w:eastAsia="SimSun;宋体"/>
          <w:szCs w:val="24"/>
          <w:lang w:bidi="hi-IN"/>
        </w:rPr>
        <w:t xml:space="preserve"> </w:t>
      </w:r>
      <w:r w:rsidRPr="00A67DB0">
        <w:rPr>
          <w:szCs w:val="24"/>
        </w:rPr>
        <w:t xml:space="preserve">Nevyriausybinių organizacijų finansavimo Kėdainių rajono savivaldybės biudžeto lėšomis ir šių lėšų administravimo tvarkos aprašu, patvirtintu Kėdainių rajono savivaldybės tarybos 2025 m. vasario 21 d. sprendimu Nr. TS-17 „Dėl Nevyriausybinių organizacijų finansavimo Kėdainių rajono savivaldybės biudžeto lėšomis ir šių lėšų administravimo tvarkos aprašo patvirtinimo“ (toliau – </w:t>
      </w:r>
      <w:r w:rsidR="00137425" w:rsidRPr="00A67DB0">
        <w:rPr>
          <w:szCs w:val="24"/>
        </w:rPr>
        <w:t>Tvarkos a</w:t>
      </w:r>
      <w:r w:rsidRPr="00A67DB0">
        <w:rPr>
          <w:szCs w:val="24"/>
        </w:rPr>
        <w:t xml:space="preserve">prašas) ir </w:t>
      </w:r>
      <w:r w:rsidR="00137425" w:rsidRPr="00A67DB0">
        <w:rPr>
          <w:szCs w:val="24"/>
          <w:lang w:eastAsia="en-GB"/>
        </w:rPr>
        <w:t>Kėdainių rajono savivaldybės vaikų vasaros stovyklų ir kitų neformaliojo vaikų švietimo veiklų programų konkurso tvarkos aprašu (toliau</w:t>
      </w:r>
      <w:r w:rsidR="00253E51">
        <w:rPr>
          <w:szCs w:val="24"/>
          <w:lang w:eastAsia="en-GB"/>
        </w:rPr>
        <w:t xml:space="preserve"> </w:t>
      </w:r>
      <w:r w:rsidR="00137425" w:rsidRPr="00A67DB0">
        <w:rPr>
          <w:szCs w:val="24"/>
          <w:lang w:eastAsia="en-GB"/>
        </w:rPr>
        <w:t>–</w:t>
      </w:r>
      <w:r w:rsidR="00253E51">
        <w:rPr>
          <w:szCs w:val="24"/>
          <w:lang w:eastAsia="en-GB"/>
        </w:rPr>
        <w:t xml:space="preserve"> </w:t>
      </w:r>
      <w:r w:rsidR="00137425" w:rsidRPr="00A67DB0">
        <w:rPr>
          <w:szCs w:val="24"/>
          <w:lang w:eastAsia="en-GB"/>
        </w:rPr>
        <w:t>Aprašas)</w:t>
      </w:r>
      <w:r w:rsidRPr="00A67DB0">
        <w:rPr>
          <w:szCs w:val="24"/>
        </w:rPr>
        <w:t xml:space="preserve">. </w:t>
      </w:r>
      <w:r w:rsidRPr="00A67DB0">
        <w:rPr>
          <w:rFonts w:eastAsia="PMingLiU"/>
          <w:szCs w:val="24"/>
          <w:lang w:eastAsia="zh-TW"/>
        </w:rPr>
        <w:t xml:space="preserve">Konkursas skelbiamas viešai </w:t>
      </w:r>
      <w:r w:rsidRPr="00A67DB0">
        <w:rPr>
          <w:szCs w:val="24"/>
          <w:lang w:eastAsia="lt-LT"/>
        </w:rPr>
        <w:t>Savivaldybės interneto svetainėje www.kedainiai.lt. Konkursas organizuojamas vienkartinės atrankos būdu.“</w:t>
      </w:r>
    </w:p>
    <w:p w14:paraId="6F1E8AB9" w14:textId="7CE09590" w:rsidR="00A405B1" w:rsidRPr="00A67DB0" w:rsidRDefault="006C4F06" w:rsidP="00A405B1">
      <w:pPr>
        <w:pStyle w:val="ListParagraph"/>
        <w:numPr>
          <w:ilvl w:val="1"/>
          <w:numId w:val="2"/>
        </w:numPr>
        <w:jc w:val="both"/>
        <w:rPr>
          <w:szCs w:val="24"/>
        </w:rPr>
      </w:pPr>
      <w:r w:rsidRPr="00A67DB0">
        <w:rPr>
          <w:szCs w:val="24"/>
        </w:rPr>
        <w:t xml:space="preserve"> Pakeičiu </w:t>
      </w:r>
      <w:r w:rsidR="00843D43">
        <w:rPr>
          <w:szCs w:val="24"/>
        </w:rPr>
        <w:t>7</w:t>
      </w:r>
      <w:r w:rsidRPr="00A67DB0">
        <w:rPr>
          <w:szCs w:val="24"/>
        </w:rPr>
        <w:t xml:space="preserve"> punktą ir jį išdėstau taip:</w:t>
      </w:r>
    </w:p>
    <w:p w14:paraId="7EB92EAF" w14:textId="1E2F386E" w:rsidR="007F7793" w:rsidRPr="00A67DB0" w:rsidRDefault="00E211A9" w:rsidP="007F7793">
      <w:pPr>
        <w:pStyle w:val="ListParagraph"/>
        <w:ind w:left="0" w:firstLine="851"/>
        <w:jc w:val="both"/>
        <w:rPr>
          <w:szCs w:val="24"/>
        </w:rPr>
      </w:pPr>
      <w:r w:rsidRPr="00A67DB0">
        <w:rPr>
          <w:szCs w:val="24"/>
        </w:rPr>
        <w:t>„</w:t>
      </w:r>
      <w:r w:rsidR="00843D43">
        <w:rPr>
          <w:szCs w:val="24"/>
        </w:rPr>
        <w:t>7</w:t>
      </w:r>
      <w:r w:rsidRPr="00A67DB0">
        <w:rPr>
          <w:szCs w:val="24"/>
        </w:rPr>
        <w:t>. Kitos Apraše vartojamos sąvokos suprantamos taip, kaip jos apibrėžtos Tvarkos apraše ir Lietuvos Respublikos įstatymuose.“</w:t>
      </w:r>
    </w:p>
    <w:p w14:paraId="137731ED" w14:textId="449CAB4A" w:rsidR="006C4F06" w:rsidRPr="00A67DB0" w:rsidRDefault="00E211A9" w:rsidP="00A405B1">
      <w:pPr>
        <w:pStyle w:val="ListParagraph"/>
        <w:numPr>
          <w:ilvl w:val="1"/>
          <w:numId w:val="2"/>
        </w:numPr>
        <w:jc w:val="both"/>
        <w:rPr>
          <w:szCs w:val="24"/>
        </w:rPr>
      </w:pPr>
      <w:r w:rsidRPr="00A67DB0">
        <w:rPr>
          <w:bCs/>
          <w:szCs w:val="24"/>
          <w:lang w:eastAsia="lt-LT"/>
        </w:rPr>
        <w:t xml:space="preserve"> </w:t>
      </w:r>
      <w:r w:rsidR="007F7793" w:rsidRPr="00A67DB0">
        <w:rPr>
          <w:bCs/>
          <w:szCs w:val="24"/>
          <w:lang w:eastAsia="lt-LT"/>
        </w:rPr>
        <w:t>Pakeičiu 9</w:t>
      </w:r>
      <w:r w:rsidR="007F7793" w:rsidRPr="00A67DB0">
        <w:rPr>
          <w:szCs w:val="24"/>
        </w:rPr>
        <w:t xml:space="preserve"> punktą ir jį išdėstau taip:</w:t>
      </w:r>
    </w:p>
    <w:p w14:paraId="1E71413E" w14:textId="7E0E7644" w:rsidR="007F7793" w:rsidRPr="00BA3FC7" w:rsidRDefault="007F7793" w:rsidP="00BA3FC7">
      <w:pPr>
        <w:ind w:firstLine="851"/>
        <w:jc w:val="both"/>
        <w:rPr>
          <w:rFonts w:ascii="Arial" w:hAnsi="Arial" w:cs="Arial"/>
          <w:sz w:val="22"/>
          <w:szCs w:val="22"/>
          <w:lang w:eastAsia="lt-LT"/>
        </w:rPr>
      </w:pPr>
      <w:r w:rsidRPr="00A67DB0">
        <w:rPr>
          <w:szCs w:val="24"/>
        </w:rPr>
        <w:t>„</w:t>
      </w:r>
      <w:r w:rsidR="00A77788" w:rsidRPr="00A67DB0">
        <w:rPr>
          <w:szCs w:val="24"/>
        </w:rPr>
        <w:t xml:space="preserve">9. </w:t>
      </w:r>
      <w:r w:rsidR="005F26DF" w:rsidRPr="00A67DB0">
        <w:rPr>
          <w:kern w:val="3"/>
          <w:szCs w:val="24"/>
          <w:lang w:eastAsia="lt-LT"/>
        </w:rPr>
        <w:t>Stovyklos dalyvių registracija į stovyklas vyksta centralizuotai</w:t>
      </w:r>
      <w:r w:rsidR="00C264AA" w:rsidRPr="00A67DB0">
        <w:rPr>
          <w:kern w:val="3"/>
          <w:szCs w:val="24"/>
          <w:lang w:eastAsia="lt-LT"/>
        </w:rPr>
        <w:t>,</w:t>
      </w:r>
      <w:r w:rsidR="005F26DF" w:rsidRPr="00A67DB0">
        <w:rPr>
          <w:kern w:val="3"/>
          <w:szCs w:val="24"/>
          <w:lang w:eastAsia="lt-LT"/>
        </w:rPr>
        <w:t xml:space="preserve"> elektroniniu būdu Kėdainių rajono savivaldybės interneto svetainėje www.kedainiai.lt Savivaldybės administracijai paskelbus kvietimą registruotis organizuojamose stovyklose. Savivaldybės administracija iš dalies finansuoja vieno vaiko dalyvavimą tik vienoje pasirinktoje stovykloje, </w:t>
      </w:r>
      <w:r w:rsidR="005F26DF" w:rsidRPr="00A67DB0">
        <w:rPr>
          <w:szCs w:val="24"/>
          <w:lang w:eastAsia="lt-LT"/>
        </w:rPr>
        <w:t>nepriklausomai nuo jos tipo</w:t>
      </w:r>
      <w:r w:rsidR="005F26DF" w:rsidRPr="00A67DB0">
        <w:rPr>
          <w:rFonts w:ascii="Arial" w:hAnsi="Arial" w:cs="Arial"/>
          <w:sz w:val="22"/>
          <w:szCs w:val="22"/>
          <w:lang w:eastAsia="lt-LT"/>
        </w:rPr>
        <w:t>.“</w:t>
      </w:r>
    </w:p>
    <w:p w14:paraId="250F29AF" w14:textId="73323227" w:rsidR="007F7793" w:rsidRPr="00A67DB0" w:rsidRDefault="007F7793" w:rsidP="00A405B1">
      <w:pPr>
        <w:pStyle w:val="ListParagraph"/>
        <w:numPr>
          <w:ilvl w:val="1"/>
          <w:numId w:val="2"/>
        </w:numPr>
        <w:jc w:val="both"/>
        <w:rPr>
          <w:szCs w:val="24"/>
        </w:rPr>
      </w:pPr>
      <w:r w:rsidRPr="00A67DB0">
        <w:rPr>
          <w:bCs/>
          <w:szCs w:val="24"/>
          <w:lang w:eastAsia="lt-LT"/>
        </w:rPr>
        <w:t xml:space="preserve"> Pakeičiu 21</w:t>
      </w:r>
      <w:r w:rsidRPr="00A67DB0">
        <w:rPr>
          <w:szCs w:val="24"/>
        </w:rPr>
        <w:t xml:space="preserve"> punktą ir jį išdėstau taip:</w:t>
      </w:r>
    </w:p>
    <w:p w14:paraId="7CA0A8B4" w14:textId="3A9B3BE2" w:rsidR="005365AD" w:rsidRPr="00A67DB0" w:rsidRDefault="00E211A9" w:rsidP="005365AD">
      <w:pPr>
        <w:pStyle w:val="ListParagraph"/>
        <w:ind w:left="0" w:firstLine="851"/>
        <w:jc w:val="both"/>
        <w:rPr>
          <w:szCs w:val="24"/>
        </w:rPr>
      </w:pPr>
      <w:r w:rsidRPr="00A67DB0">
        <w:rPr>
          <w:szCs w:val="24"/>
        </w:rPr>
        <w:t>„</w:t>
      </w:r>
      <w:r w:rsidR="006B56FC" w:rsidRPr="00A67DB0">
        <w:rPr>
          <w:szCs w:val="24"/>
        </w:rPr>
        <w:t>2</w:t>
      </w:r>
      <w:r w:rsidRPr="00A67DB0">
        <w:rPr>
          <w:szCs w:val="24"/>
        </w:rPr>
        <w:t xml:space="preserve">1. </w:t>
      </w:r>
      <w:r w:rsidRPr="00A67DB0">
        <w:rPr>
          <w:szCs w:val="24"/>
          <w:lang w:eastAsia="ar-SA"/>
        </w:rPr>
        <w:t>Konkursui teikiama</w:t>
      </w:r>
      <w:r w:rsidR="006B56FC" w:rsidRPr="00A67DB0">
        <w:rPr>
          <w:szCs w:val="24"/>
          <w:lang w:eastAsia="ar-SA"/>
        </w:rPr>
        <w:t xml:space="preserve"> Stovyklų</w:t>
      </w:r>
      <w:r w:rsidRPr="00A67DB0">
        <w:rPr>
          <w:szCs w:val="24"/>
          <w:lang w:eastAsia="ar-SA"/>
        </w:rPr>
        <w:t xml:space="preserve"> pro</w:t>
      </w:r>
      <w:r w:rsidR="006B56FC" w:rsidRPr="00A67DB0">
        <w:rPr>
          <w:szCs w:val="24"/>
          <w:lang w:eastAsia="ar-SA"/>
        </w:rPr>
        <w:t>grama (toliau – Programa)</w:t>
      </w:r>
      <w:r w:rsidRPr="00A67DB0">
        <w:rPr>
          <w:szCs w:val="24"/>
          <w:lang w:eastAsia="ar-SA"/>
        </w:rPr>
        <w:t xml:space="preserve"> aprašoma užpildant paraiškos formą (1 priedas). </w:t>
      </w:r>
      <w:r w:rsidRPr="00A67DB0">
        <w:rPr>
          <w:szCs w:val="24"/>
          <w:lang w:eastAsia="lt-LT"/>
        </w:rPr>
        <w:t xml:space="preserve">Paraiška turi būti užpildyta kompiuteriu lietuvių kalba, </w:t>
      </w:r>
      <w:r w:rsidRPr="00A67DB0">
        <w:rPr>
          <w:szCs w:val="24"/>
        </w:rPr>
        <w:t xml:space="preserve">pasirašyta </w:t>
      </w:r>
      <w:r w:rsidRPr="00A67DB0">
        <w:rPr>
          <w:szCs w:val="24"/>
        </w:rPr>
        <w:lastRenderedPageBreak/>
        <w:t xml:space="preserve">pareiškėjo vadovo arba jo įgalioto asmens, turinčio teisę veikti pareiškėjo vardu, nurodant vardą, pavardę ir pareigas, bei patvirtinta antspaudu, jei pareiškėjas antspaudą privalo turėti, arba elektroniniu parašu. </w:t>
      </w:r>
      <w:r w:rsidRPr="00A67DB0">
        <w:rPr>
          <w:szCs w:val="24"/>
          <w:lang w:eastAsia="ar-SA"/>
        </w:rPr>
        <w:t>Paraiškų skaičius nėra ribojamas.</w:t>
      </w:r>
      <w:r w:rsidRPr="00A67DB0">
        <w:rPr>
          <w:szCs w:val="24"/>
        </w:rPr>
        <w:t>“</w:t>
      </w:r>
    </w:p>
    <w:p w14:paraId="64E12BB3" w14:textId="303405CD" w:rsidR="005365AD" w:rsidRPr="00A67DB0" w:rsidRDefault="00905436" w:rsidP="005365AD">
      <w:pPr>
        <w:pStyle w:val="ListParagraph"/>
        <w:numPr>
          <w:ilvl w:val="1"/>
          <w:numId w:val="2"/>
        </w:numPr>
        <w:jc w:val="both"/>
        <w:rPr>
          <w:szCs w:val="24"/>
        </w:rPr>
      </w:pPr>
      <w:r w:rsidRPr="00A67DB0">
        <w:rPr>
          <w:bCs/>
          <w:szCs w:val="24"/>
          <w:lang w:eastAsia="lt-LT"/>
        </w:rPr>
        <w:t xml:space="preserve"> </w:t>
      </w:r>
      <w:r w:rsidR="005365AD" w:rsidRPr="00A67DB0">
        <w:rPr>
          <w:bCs/>
          <w:szCs w:val="24"/>
          <w:lang w:eastAsia="lt-LT"/>
        </w:rPr>
        <w:t xml:space="preserve">Pakeičiu </w:t>
      </w:r>
      <w:r w:rsidR="007F3DE4" w:rsidRPr="00A67DB0">
        <w:rPr>
          <w:bCs/>
          <w:szCs w:val="24"/>
          <w:lang w:eastAsia="lt-LT"/>
        </w:rPr>
        <w:t>2</w:t>
      </w:r>
      <w:r w:rsidR="005365AD" w:rsidRPr="00A67DB0">
        <w:rPr>
          <w:bCs/>
          <w:szCs w:val="24"/>
          <w:lang w:eastAsia="lt-LT"/>
        </w:rPr>
        <w:t>3.</w:t>
      </w:r>
      <w:r w:rsidR="007F3DE4" w:rsidRPr="00A67DB0">
        <w:rPr>
          <w:bCs/>
          <w:szCs w:val="24"/>
          <w:lang w:eastAsia="lt-LT"/>
        </w:rPr>
        <w:t>4</w:t>
      </w:r>
      <w:r w:rsidR="005365AD" w:rsidRPr="00A67DB0">
        <w:rPr>
          <w:szCs w:val="24"/>
        </w:rPr>
        <w:t xml:space="preserve"> papunktį ir jį išdėstau taip:</w:t>
      </w:r>
    </w:p>
    <w:p w14:paraId="6D7CE844" w14:textId="2BABAF3D" w:rsidR="00905436" w:rsidRPr="00A67DB0" w:rsidRDefault="005365AD" w:rsidP="00D63375">
      <w:pPr>
        <w:pStyle w:val="ListParagraph"/>
        <w:tabs>
          <w:tab w:val="left" w:pos="1560"/>
          <w:tab w:val="left" w:pos="1701"/>
        </w:tabs>
        <w:ind w:left="0" w:firstLine="851"/>
        <w:jc w:val="both"/>
        <w:rPr>
          <w:szCs w:val="24"/>
        </w:rPr>
      </w:pPr>
      <w:r w:rsidRPr="00A67DB0">
        <w:rPr>
          <w:szCs w:val="24"/>
        </w:rPr>
        <w:t>„</w:t>
      </w:r>
      <w:r w:rsidR="007F3DE4" w:rsidRPr="00A67DB0">
        <w:rPr>
          <w:szCs w:val="24"/>
        </w:rPr>
        <w:t>2</w:t>
      </w:r>
      <w:r w:rsidRPr="00A67DB0">
        <w:rPr>
          <w:szCs w:val="24"/>
        </w:rPr>
        <w:t>3.</w:t>
      </w:r>
      <w:r w:rsidR="007F3DE4" w:rsidRPr="00A67DB0">
        <w:rPr>
          <w:szCs w:val="24"/>
        </w:rPr>
        <w:t>4</w:t>
      </w:r>
      <w:r w:rsidRPr="00A67DB0">
        <w:rPr>
          <w:szCs w:val="24"/>
        </w:rPr>
        <w:t>.</w:t>
      </w:r>
      <w:r w:rsidR="00D63375" w:rsidRPr="00A67DB0">
        <w:rPr>
          <w:szCs w:val="24"/>
        </w:rPr>
        <w:t xml:space="preserve"> </w:t>
      </w:r>
      <w:r w:rsidRPr="00A67DB0">
        <w:rPr>
          <w:szCs w:val="24"/>
        </w:rPr>
        <w:t xml:space="preserve">jeigu </w:t>
      </w:r>
      <w:r w:rsidR="007F3DE4" w:rsidRPr="00A67DB0">
        <w:rPr>
          <w:szCs w:val="24"/>
        </w:rPr>
        <w:t>Programa</w:t>
      </w:r>
      <w:r w:rsidRPr="00A67DB0">
        <w:rPr>
          <w:szCs w:val="24"/>
        </w:rPr>
        <w:t xml:space="preserve"> įgyvendinama su partneriu,</w:t>
      </w:r>
      <w:r w:rsidR="007F3DE4" w:rsidRPr="00A67DB0">
        <w:rPr>
          <w:szCs w:val="24"/>
        </w:rPr>
        <w:t> </w:t>
      </w:r>
      <w:r w:rsidRPr="00A67DB0">
        <w:rPr>
          <w:szCs w:val="24"/>
        </w:rPr>
        <w:t>–</w:t>
      </w:r>
      <w:r w:rsidR="007F3DE4" w:rsidRPr="00A67DB0">
        <w:rPr>
          <w:szCs w:val="24"/>
        </w:rPr>
        <w:t> </w:t>
      </w:r>
      <w:r w:rsidRPr="00A67DB0">
        <w:rPr>
          <w:szCs w:val="24"/>
        </w:rPr>
        <w:t>bendradarbiavimo susitarimo</w:t>
      </w:r>
      <w:r w:rsidR="007F3DE4" w:rsidRPr="00A67DB0">
        <w:rPr>
          <w:szCs w:val="24"/>
        </w:rPr>
        <w:t> </w:t>
      </w:r>
      <w:r w:rsidRPr="00A67DB0">
        <w:rPr>
          <w:szCs w:val="24"/>
        </w:rPr>
        <w:t>/</w:t>
      </w:r>
      <w:r w:rsidR="007F3DE4" w:rsidRPr="00A67DB0">
        <w:rPr>
          <w:szCs w:val="24"/>
        </w:rPr>
        <w:t> </w:t>
      </w:r>
      <w:r w:rsidRPr="00A67DB0">
        <w:rPr>
          <w:szCs w:val="24"/>
        </w:rPr>
        <w:t xml:space="preserve">jungtinės sutarties, įvardijant konkrečią partnerio veiklą ir funkcijas įgyvendinant </w:t>
      </w:r>
      <w:r w:rsidR="007F3DE4" w:rsidRPr="00A67DB0">
        <w:rPr>
          <w:szCs w:val="24"/>
        </w:rPr>
        <w:t>P</w:t>
      </w:r>
      <w:r w:rsidRPr="00A67DB0">
        <w:rPr>
          <w:szCs w:val="24"/>
        </w:rPr>
        <w:t>ro</w:t>
      </w:r>
      <w:r w:rsidR="007F3DE4" w:rsidRPr="00A67DB0">
        <w:rPr>
          <w:szCs w:val="24"/>
        </w:rPr>
        <w:t>gram</w:t>
      </w:r>
      <w:r w:rsidRPr="00A67DB0">
        <w:rPr>
          <w:szCs w:val="24"/>
        </w:rPr>
        <w:t>ą;“</w:t>
      </w:r>
      <w:r w:rsidR="00905436" w:rsidRPr="00A67DB0">
        <w:rPr>
          <w:szCs w:val="24"/>
        </w:rPr>
        <w:t>.</w:t>
      </w:r>
    </w:p>
    <w:p w14:paraId="5F154168" w14:textId="6F3E49B9" w:rsidR="00905436" w:rsidRPr="00A67DB0" w:rsidRDefault="00905436" w:rsidP="00905436">
      <w:pPr>
        <w:pStyle w:val="ListParagraph"/>
        <w:numPr>
          <w:ilvl w:val="1"/>
          <w:numId w:val="2"/>
        </w:numPr>
        <w:ind w:left="0" w:firstLine="851"/>
        <w:jc w:val="both"/>
        <w:rPr>
          <w:szCs w:val="24"/>
        </w:rPr>
      </w:pPr>
      <w:r w:rsidRPr="00A67DB0">
        <w:rPr>
          <w:szCs w:val="24"/>
          <w:lang w:eastAsia="ar-SA"/>
        </w:rPr>
        <w:t xml:space="preserve"> </w:t>
      </w:r>
      <w:r w:rsidRPr="00A67DB0">
        <w:rPr>
          <w:bCs/>
          <w:szCs w:val="24"/>
          <w:lang w:eastAsia="lt-LT"/>
        </w:rPr>
        <w:t>Pakeičiu 36.2.1</w:t>
      </w:r>
      <w:r w:rsidRPr="00A67DB0">
        <w:rPr>
          <w:szCs w:val="24"/>
        </w:rPr>
        <w:t xml:space="preserve"> papunktį ir jį išdėstau taip:</w:t>
      </w:r>
      <w:r w:rsidRPr="00A67DB0">
        <w:rPr>
          <w:szCs w:val="24"/>
          <w:lang w:eastAsia="ar-SA"/>
        </w:rPr>
        <w:t xml:space="preserve"> </w:t>
      </w:r>
    </w:p>
    <w:p w14:paraId="6181D48A" w14:textId="59FFD6B3" w:rsidR="00905436" w:rsidRPr="00A67DB0" w:rsidRDefault="00905436" w:rsidP="00905436">
      <w:pPr>
        <w:pStyle w:val="ListParagraph"/>
        <w:ind w:left="0" w:firstLine="851"/>
        <w:jc w:val="both"/>
        <w:rPr>
          <w:szCs w:val="24"/>
        </w:rPr>
      </w:pPr>
      <w:r w:rsidRPr="00A67DB0">
        <w:rPr>
          <w:szCs w:val="24"/>
          <w:lang w:eastAsia="ar-SA"/>
        </w:rPr>
        <w:t>„36</w:t>
      </w:r>
      <w:r w:rsidRPr="00A67DB0">
        <w:rPr>
          <w:szCs w:val="24"/>
        </w:rPr>
        <w:t xml:space="preserve">.2.1. </w:t>
      </w:r>
      <w:r w:rsidRPr="00A67DB0">
        <w:rPr>
          <w:szCs w:val="24"/>
          <w:lang w:eastAsia="ar-SA"/>
        </w:rPr>
        <w:t>veiklą vykdančios Kėdainių rajono savivaldybės teritorijoje</w:t>
      </w:r>
      <w:r w:rsidRPr="00A67DB0">
        <w:rPr>
          <w:szCs w:val="24"/>
        </w:rPr>
        <w:t xml:space="preserve">, atitinkančios </w:t>
      </w:r>
      <w:r w:rsidRPr="00A67DB0">
        <w:rPr>
          <w:bCs/>
          <w:szCs w:val="24"/>
        </w:rPr>
        <w:t>Lietuvos Respublikos nevyriausybinių organizacijų plėtros įstatymo 2 straipsnio 3 dalyje nustatytą nevyriausybinės organizacijos sąvoką</w:t>
      </w:r>
      <w:r w:rsidRPr="00A67DB0">
        <w:rPr>
          <w:szCs w:val="24"/>
        </w:rPr>
        <w:t xml:space="preserve"> ir </w:t>
      </w:r>
      <w:r w:rsidRPr="00A67DB0">
        <w:rPr>
          <w:bCs/>
          <w:szCs w:val="24"/>
          <w:lang w:eastAsia="lt-LT"/>
        </w:rPr>
        <w:t>Juridinių asmenų registre nustatyta tvarka įregistravusios žymą, kad juridinis asmuo yra nevyriausybinė organizacija (</w:t>
      </w:r>
      <w:r w:rsidRPr="00A67DB0">
        <w:rPr>
          <w:szCs w:val="24"/>
        </w:rPr>
        <w:t>pagal viešus Juridinių asmenų registro duomenis</w:t>
      </w:r>
      <w:r w:rsidRPr="00A67DB0">
        <w:rPr>
          <w:szCs w:val="24"/>
          <w:lang w:eastAsia="ar-SA"/>
        </w:rPr>
        <w:t>);“.</w:t>
      </w:r>
    </w:p>
    <w:p w14:paraId="38EB4C27" w14:textId="4FBF3B4C" w:rsidR="00905436" w:rsidRPr="00A67DB0" w:rsidRDefault="00905436" w:rsidP="00905436">
      <w:pPr>
        <w:pStyle w:val="ListParagraph"/>
        <w:numPr>
          <w:ilvl w:val="1"/>
          <w:numId w:val="2"/>
        </w:numPr>
        <w:jc w:val="both"/>
        <w:rPr>
          <w:szCs w:val="24"/>
        </w:rPr>
      </w:pPr>
      <w:r w:rsidRPr="00A67DB0">
        <w:rPr>
          <w:szCs w:val="24"/>
        </w:rPr>
        <w:t xml:space="preserve"> </w:t>
      </w:r>
      <w:r w:rsidRPr="00A67DB0">
        <w:rPr>
          <w:bCs/>
          <w:szCs w:val="24"/>
          <w:lang w:eastAsia="lt-LT"/>
        </w:rPr>
        <w:t xml:space="preserve">Pakeičiu </w:t>
      </w:r>
      <w:r w:rsidR="00635612" w:rsidRPr="00A67DB0">
        <w:rPr>
          <w:bCs/>
          <w:szCs w:val="24"/>
          <w:lang w:eastAsia="lt-LT"/>
        </w:rPr>
        <w:t>36</w:t>
      </w:r>
      <w:r w:rsidRPr="00A67DB0">
        <w:rPr>
          <w:bCs/>
          <w:szCs w:val="24"/>
          <w:lang w:eastAsia="lt-LT"/>
        </w:rPr>
        <w:t>.2.2</w:t>
      </w:r>
      <w:r w:rsidRPr="00A67DB0">
        <w:rPr>
          <w:szCs w:val="24"/>
        </w:rPr>
        <w:t xml:space="preserve"> papunktį ir jį išdėstau taip: </w:t>
      </w:r>
    </w:p>
    <w:p w14:paraId="2C0B1B0D" w14:textId="28105E13" w:rsidR="00D63375" w:rsidRPr="00A67DB0" w:rsidRDefault="00905436" w:rsidP="00D63375">
      <w:pPr>
        <w:pStyle w:val="ListParagraph"/>
        <w:ind w:left="0" w:firstLine="851"/>
        <w:jc w:val="both"/>
        <w:rPr>
          <w:szCs w:val="24"/>
        </w:rPr>
      </w:pPr>
      <w:r w:rsidRPr="00A67DB0">
        <w:rPr>
          <w:szCs w:val="24"/>
        </w:rPr>
        <w:t>„</w:t>
      </w:r>
      <w:r w:rsidR="00635612" w:rsidRPr="00A67DB0">
        <w:rPr>
          <w:szCs w:val="24"/>
        </w:rPr>
        <w:t>36</w:t>
      </w:r>
      <w:r w:rsidRPr="00A67DB0">
        <w:rPr>
          <w:szCs w:val="24"/>
        </w:rPr>
        <w:t xml:space="preserve">.2.2. juridinis asmuo teisės aktų nustatyta tvarka Juridinių asmenų registrui yra pateikęs finansinių ataskaitų rinkinį, veiklos ataskaitą </w:t>
      </w:r>
      <w:r w:rsidRPr="00A67DB0">
        <w:rPr>
          <w:szCs w:val="24"/>
          <w:lang w:eastAsia="ar-SA"/>
        </w:rPr>
        <w:t>(</w:t>
      </w:r>
      <w:r w:rsidRPr="00A67DB0">
        <w:rPr>
          <w:szCs w:val="24"/>
        </w:rPr>
        <w:t>pagal viešus Juridinių asmenų registro duomenis</w:t>
      </w:r>
      <w:r w:rsidRPr="00A67DB0">
        <w:rPr>
          <w:szCs w:val="24"/>
          <w:lang w:eastAsia="ar-SA"/>
        </w:rPr>
        <w:t>)</w:t>
      </w:r>
      <w:r w:rsidRPr="00A67DB0">
        <w:rPr>
          <w:bCs/>
          <w:szCs w:val="24"/>
        </w:rPr>
        <w:t xml:space="preserve"> ir savo interneto svetainėje (jeigu ją turi) viešai skelbia informacij</w:t>
      </w:r>
      <w:r w:rsidR="00E2472C">
        <w:rPr>
          <w:bCs/>
          <w:szCs w:val="24"/>
        </w:rPr>
        <w:t>ą</w:t>
      </w:r>
      <w:r w:rsidRPr="00A67DB0">
        <w:rPr>
          <w:bCs/>
          <w:szCs w:val="24"/>
        </w:rPr>
        <w:t xml:space="preserve"> </w:t>
      </w:r>
      <w:r w:rsidRPr="00A67DB0">
        <w:rPr>
          <w:szCs w:val="24"/>
        </w:rPr>
        <w:t>apie įgyvendinam</w:t>
      </w:r>
      <w:r w:rsidR="00333A6E" w:rsidRPr="00A67DB0">
        <w:rPr>
          <w:szCs w:val="24"/>
        </w:rPr>
        <w:t>a</w:t>
      </w:r>
      <w:r w:rsidRPr="00A67DB0">
        <w:rPr>
          <w:szCs w:val="24"/>
        </w:rPr>
        <w:t>s ar įgyvendint</w:t>
      </w:r>
      <w:r w:rsidR="00071EE5" w:rsidRPr="00A67DB0">
        <w:rPr>
          <w:szCs w:val="24"/>
        </w:rPr>
        <w:t>a</w:t>
      </w:r>
      <w:r w:rsidRPr="00A67DB0">
        <w:rPr>
          <w:szCs w:val="24"/>
        </w:rPr>
        <w:t xml:space="preserve">s </w:t>
      </w:r>
      <w:r w:rsidR="00333A6E" w:rsidRPr="00A67DB0">
        <w:rPr>
          <w:szCs w:val="24"/>
        </w:rPr>
        <w:t>P</w:t>
      </w:r>
      <w:r w:rsidR="00071EE5" w:rsidRPr="00A67DB0">
        <w:rPr>
          <w:szCs w:val="24"/>
        </w:rPr>
        <w:t>rogramas</w:t>
      </w:r>
      <w:r w:rsidRPr="00A67DB0">
        <w:rPr>
          <w:szCs w:val="24"/>
        </w:rPr>
        <w:t xml:space="preserve">. </w:t>
      </w:r>
      <w:r w:rsidRPr="00A67DB0">
        <w:rPr>
          <w:szCs w:val="24"/>
          <w:lang w:eastAsia="ar-SA"/>
        </w:rPr>
        <w:t xml:space="preserve">Šis reikalavimas netaikomas pareiškėjui, kuris veiklą vykdo </w:t>
      </w:r>
      <w:r w:rsidRPr="00A67DB0">
        <w:rPr>
          <w:szCs w:val="24"/>
        </w:rPr>
        <w:t xml:space="preserve">trumpiau nei 1 (vienus) metus. Tokiu atveju pareiškėjas kartu su paraiška pateikia </w:t>
      </w:r>
      <w:r w:rsidR="00D63375" w:rsidRPr="00A67DB0">
        <w:rPr>
          <w:szCs w:val="24"/>
        </w:rPr>
        <w:t>Aprašo</w:t>
      </w:r>
      <w:r w:rsidRPr="00A67DB0">
        <w:rPr>
          <w:szCs w:val="24"/>
        </w:rPr>
        <w:t xml:space="preserve"> </w:t>
      </w:r>
      <w:r w:rsidR="00D63375" w:rsidRPr="00A67DB0">
        <w:rPr>
          <w:szCs w:val="24"/>
        </w:rPr>
        <w:t>2</w:t>
      </w:r>
      <w:r w:rsidRPr="00A67DB0">
        <w:rPr>
          <w:szCs w:val="24"/>
        </w:rPr>
        <w:t>3.</w:t>
      </w:r>
      <w:r w:rsidR="00D63375" w:rsidRPr="00A67DB0">
        <w:rPr>
          <w:szCs w:val="24"/>
        </w:rPr>
        <w:t>2</w:t>
      </w:r>
      <w:r w:rsidRPr="00A67DB0">
        <w:rPr>
          <w:szCs w:val="24"/>
        </w:rPr>
        <w:t xml:space="preserve"> papunktyje nurodytą laisvos formos ataskaitos kopiją;“.</w:t>
      </w:r>
    </w:p>
    <w:p w14:paraId="1972B887" w14:textId="7C100AA6" w:rsidR="00D63375" w:rsidRPr="00A67DB0" w:rsidRDefault="00D63375" w:rsidP="00D63375">
      <w:pPr>
        <w:pStyle w:val="ListParagraph"/>
        <w:numPr>
          <w:ilvl w:val="1"/>
          <w:numId w:val="2"/>
        </w:numPr>
        <w:ind w:left="0" w:firstLine="851"/>
        <w:jc w:val="both"/>
        <w:rPr>
          <w:szCs w:val="24"/>
        </w:rPr>
      </w:pPr>
      <w:r w:rsidRPr="00A67DB0">
        <w:rPr>
          <w:bCs/>
          <w:szCs w:val="24"/>
          <w:lang w:eastAsia="lt-LT"/>
        </w:rPr>
        <w:t xml:space="preserve"> Pakeičiu </w:t>
      </w:r>
      <w:r w:rsidR="004D38D7" w:rsidRPr="00A67DB0">
        <w:rPr>
          <w:bCs/>
          <w:szCs w:val="24"/>
          <w:lang w:eastAsia="lt-LT"/>
        </w:rPr>
        <w:t>38</w:t>
      </w:r>
      <w:r w:rsidRPr="00A67DB0">
        <w:rPr>
          <w:bCs/>
          <w:szCs w:val="24"/>
          <w:lang w:eastAsia="lt-LT"/>
        </w:rPr>
        <w:t>.3</w:t>
      </w:r>
      <w:r w:rsidRPr="00A67DB0">
        <w:rPr>
          <w:szCs w:val="24"/>
        </w:rPr>
        <w:t xml:space="preserve"> papunktį ir jį išdėstau taip:</w:t>
      </w:r>
    </w:p>
    <w:p w14:paraId="5018FE68" w14:textId="26D07CAC" w:rsidR="00905436" w:rsidRPr="00A67DB0" w:rsidRDefault="00D63375" w:rsidP="00D63375">
      <w:pPr>
        <w:pStyle w:val="ListParagraph"/>
        <w:ind w:left="0" w:firstLine="851"/>
        <w:jc w:val="both"/>
        <w:rPr>
          <w:szCs w:val="24"/>
        </w:rPr>
      </w:pPr>
      <w:r w:rsidRPr="00A67DB0">
        <w:rPr>
          <w:szCs w:val="24"/>
        </w:rPr>
        <w:t>„</w:t>
      </w:r>
      <w:r w:rsidR="004D38D7" w:rsidRPr="00A67DB0">
        <w:rPr>
          <w:szCs w:val="24"/>
        </w:rPr>
        <w:t>38</w:t>
      </w:r>
      <w:r w:rsidRPr="00A67DB0">
        <w:rPr>
          <w:szCs w:val="24"/>
        </w:rPr>
        <w:t>.3. partneris su pareiškėju iki paraiškos pateikimo dienos yra pasirašę</w:t>
      </w:r>
      <w:r w:rsidR="004D38D7" w:rsidRPr="00A67DB0">
        <w:rPr>
          <w:szCs w:val="24"/>
        </w:rPr>
        <w:t>s</w:t>
      </w:r>
      <w:r w:rsidRPr="00A67DB0">
        <w:rPr>
          <w:szCs w:val="24"/>
        </w:rPr>
        <w:t xml:space="preserve"> susitarimą ar sutartį dėl bendradarbiavimo ir nurodę konkrečią partnerio veiklą ir funkcijas įgyvendinant </w:t>
      </w:r>
      <w:r w:rsidR="00333A6E" w:rsidRPr="00A67DB0">
        <w:rPr>
          <w:szCs w:val="24"/>
        </w:rPr>
        <w:t>P</w:t>
      </w:r>
      <w:r w:rsidR="00071EE5" w:rsidRPr="00A67DB0">
        <w:rPr>
          <w:szCs w:val="24"/>
        </w:rPr>
        <w:t>rogramą</w:t>
      </w:r>
      <w:r w:rsidRPr="00A67DB0">
        <w:rPr>
          <w:szCs w:val="24"/>
        </w:rPr>
        <w:t>.“</w:t>
      </w:r>
    </w:p>
    <w:p w14:paraId="6C569781" w14:textId="58615FA2" w:rsidR="00D63375" w:rsidRPr="00A67DB0" w:rsidRDefault="00660183" w:rsidP="00660183">
      <w:pPr>
        <w:pStyle w:val="ListParagraph"/>
        <w:numPr>
          <w:ilvl w:val="1"/>
          <w:numId w:val="2"/>
        </w:numPr>
        <w:tabs>
          <w:tab w:val="left" w:pos="1276"/>
          <w:tab w:val="left" w:pos="1418"/>
        </w:tabs>
        <w:ind w:left="0" w:firstLine="851"/>
        <w:jc w:val="both"/>
        <w:rPr>
          <w:szCs w:val="24"/>
        </w:rPr>
      </w:pPr>
      <w:r w:rsidRPr="00A67DB0">
        <w:rPr>
          <w:szCs w:val="24"/>
        </w:rPr>
        <w:t>P</w:t>
      </w:r>
      <w:r w:rsidRPr="00A67DB0">
        <w:rPr>
          <w:bCs/>
          <w:szCs w:val="24"/>
          <w:lang w:eastAsia="lt-LT"/>
        </w:rPr>
        <w:t xml:space="preserve">apildau </w:t>
      </w:r>
      <w:r w:rsidR="00071EE5" w:rsidRPr="00A67DB0">
        <w:rPr>
          <w:bCs/>
          <w:szCs w:val="24"/>
          <w:lang w:eastAsia="lt-LT"/>
        </w:rPr>
        <w:t>42</w:t>
      </w:r>
      <w:r w:rsidRPr="00A67DB0">
        <w:rPr>
          <w:bCs/>
          <w:szCs w:val="24"/>
          <w:lang w:eastAsia="lt-LT"/>
        </w:rPr>
        <w:t>.6</w:t>
      </w:r>
      <w:r w:rsidRPr="00A67DB0">
        <w:rPr>
          <w:szCs w:val="24"/>
        </w:rPr>
        <w:t xml:space="preserve"> papunkčiu ir jį išdėstau taip:</w:t>
      </w:r>
    </w:p>
    <w:p w14:paraId="67FE3769" w14:textId="695886EE" w:rsidR="00660183" w:rsidRPr="00A67DB0" w:rsidRDefault="00660183" w:rsidP="00660183">
      <w:pPr>
        <w:pStyle w:val="ListParagraph"/>
        <w:tabs>
          <w:tab w:val="left" w:pos="1276"/>
          <w:tab w:val="left" w:pos="1418"/>
        </w:tabs>
        <w:ind w:left="0" w:firstLine="851"/>
        <w:jc w:val="both"/>
        <w:rPr>
          <w:szCs w:val="24"/>
        </w:rPr>
      </w:pPr>
      <w:r w:rsidRPr="00A67DB0">
        <w:rPr>
          <w:szCs w:val="24"/>
        </w:rPr>
        <w:t>„</w:t>
      </w:r>
      <w:r w:rsidR="00071EE5" w:rsidRPr="00A67DB0">
        <w:rPr>
          <w:szCs w:val="24"/>
        </w:rPr>
        <w:t>42</w:t>
      </w:r>
      <w:r w:rsidRPr="00A67DB0">
        <w:rPr>
          <w:szCs w:val="24"/>
        </w:rPr>
        <w:t xml:space="preserve">.6. </w:t>
      </w:r>
      <w:r w:rsidR="00333A6E" w:rsidRPr="00A67DB0">
        <w:rPr>
          <w:szCs w:val="24"/>
          <w:lang w:eastAsia="lt-LT"/>
        </w:rPr>
        <w:t>Programos</w:t>
      </w:r>
      <w:r w:rsidRPr="00A67DB0">
        <w:rPr>
          <w:szCs w:val="24"/>
          <w:lang w:eastAsia="lt-LT"/>
        </w:rPr>
        <w:t xml:space="preserve"> vykdytojas </w:t>
      </w:r>
      <w:r w:rsidR="00333A6E" w:rsidRPr="00A67DB0">
        <w:rPr>
          <w:szCs w:val="24"/>
          <w:lang w:eastAsia="lt-LT"/>
        </w:rPr>
        <w:t>P</w:t>
      </w:r>
      <w:r w:rsidR="00071EE5" w:rsidRPr="00A67DB0">
        <w:rPr>
          <w:szCs w:val="24"/>
          <w:lang w:eastAsia="lt-LT"/>
        </w:rPr>
        <w:t>rogramos</w:t>
      </w:r>
      <w:r w:rsidRPr="00A67DB0">
        <w:rPr>
          <w:szCs w:val="24"/>
          <w:lang w:eastAsia="lt-LT"/>
        </w:rPr>
        <w:t xml:space="preserve"> įgyvendinimo metu ir 24 mėnesius</w:t>
      </w:r>
      <w:r w:rsidRPr="00A67DB0">
        <w:rPr>
          <w:szCs w:val="24"/>
        </w:rPr>
        <w:t xml:space="preserve"> nuo galutinės </w:t>
      </w:r>
      <w:bookmarkStart w:id="0" w:name="_Hlk194307713"/>
      <w:r w:rsidR="00333A6E" w:rsidRPr="00A67DB0">
        <w:rPr>
          <w:szCs w:val="24"/>
        </w:rPr>
        <w:t>P</w:t>
      </w:r>
      <w:r w:rsidR="00071EE5" w:rsidRPr="00A67DB0">
        <w:rPr>
          <w:szCs w:val="24"/>
        </w:rPr>
        <w:t>rogramos</w:t>
      </w:r>
      <w:bookmarkEnd w:id="0"/>
      <w:r w:rsidRPr="00A67DB0">
        <w:rPr>
          <w:szCs w:val="24"/>
        </w:rPr>
        <w:t xml:space="preserve"> įgyvendinimo veiklos ataskaitos pateikimo dienos atsako už informacijos ir su </w:t>
      </w:r>
      <w:r w:rsidR="00333A6E" w:rsidRPr="00A67DB0">
        <w:rPr>
          <w:szCs w:val="24"/>
        </w:rPr>
        <w:t>P</w:t>
      </w:r>
      <w:r w:rsidR="00071EE5" w:rsidRPr="00A67DB0">
        <w:rPr>
          <w:szCs w:val="24"/>
        </w:rPr>
        <w:t>rograma</w:t>
      </w:r>
      <w:r w:rsidRPr="00A67DB0">
        <w:rPr>
          <w:szCs w:val="24"/>
        </w:rPr>
        <w:t xml:space="preserve"> bei jo</w:t>
      </w:r>
      <w:r w:rsidR="00071EE5" w:rsidRPr="00A67DB0">
        <w:rPr>
          <w:szCs w:val="24"/>
        </w:rPr>
        <w:t>s</w:t>
      </w:r>
      <w:r w:rsidRPr="00A67DB0">
        <w:rPr>
          <w:szCs w:val="24"/>
        </w:rPr>
        <w:t xml:space="preserve"> įgyvendinimu susijusių duomenų tikslumą, teisėtumą, gautų Savivaldybės biudžeto lėšų finansinės apskaitos tvarkymą. D</w:t>
      </w:r>
      <w:r w:rsidRPr="00A67DB0">
        <w:rPr>
          <w:szCs w:val="24"/>
          <w:lang w:eastAsia="lt-LT"/>
        </w:rPr>
        <w:t xml:space="preserve">okumentus, susijusius su </w:t>
      </w:r>
      <w:r w:rsidR="00333A6E" w:rsidRPr="00A67DB0">
        <w:rPr>
          <w:szCs w:val="24"/>
          <w:lang w:eastAsia="lt-LT"/>
        </w:rPr>
        <w:t>P</w:t>
      </w:r>
      <w:r w:rsidR="00071EE5" w:rsidRPr="00A67DB0">
        <w:rPr>
          <w:szCs w:val="24"/>
        </w:rPr>
        <w:t>rogramos</w:t>
      </w:r>
      <w:r w:rsidRPr="00A67DB0">
        <w:rPr>
          <w:szCs w:val="24"/>
          <w:lang w:eastAsia="lt-LT"/>
        </w:rPr>
        <w:t xml:space="preserve"> įgyvendinimu, </w:t>
      </w:r>
      <w:r w:rsidR="00333A6E" w:rsidRPr="00A67DB0">
        <w:rPr>
          <w:szCs w:val="24"/>
          <w:lang w:eastAsia="lt-LT"/>
        </w:rPr>
        <w:t>P</w:t>
      </w:r>
      <w:r w:rsidR="00071EE5" w:rsidRPr="00A67DB0">
        <w:rPr>
          <w:szCs w:val="24"/>
        </w:rPr>
        <w:t>rogramos</w:t>
      </w:r>
      <w:r w:rsidRPr="00A67DB0">
        <w:rPr>
          <w:szCs w:val="24"/>
          <w:lang w:eastAsia="lt-LT"/>
        </w:rPr>
        <w:t xml:space="preserve"> vykdytojas privalo tvarkyti ir saugoti dokumentų tvarkymą ir saugojimą reglamentuojančių teisės aktų nustatyta tvarka, taip pat konkursą organizuojančios įstaigos reikalavimu </w:t>
      </w:r>
      <w:bookmarkStart w:id="1" w:name="_Hlk194308112"/>
      <w:r w:rsidR="00333A6E" w:rsidRPr="00A67DB0">
        <w:rPr>
          <w:szCs w:val="24"/>
          <w:lang w:eastAsia="lt-LT"/>
        </w:rPr>
        <w:t>P</w:t>
      </w:r>
      <w:r w:rsidR="00071EE5" w:rsidRPr="00A67DB0">
        <w:rPr>
          <w:szCs w:val="24"/>
        </w:rPr>
        <w:t>rogramos</w:t>
      </w:r>
      <w:bookmarkEnd w:id="1"/>
      <w:r w:rsidRPr="00A67DB0">
        <w:rPr>
          <w:szCs w:val="24"/>
          <w:lang w:eastAsia="lt-LT"/>
        </w:rPr>
        <w:t xml:space="preserve"> įgyvendinimo metu ir visą </w:t>
      </w:r>
      <w:r w:rsidR="00333A6E" w:rsidRPr="00A67DB0">
        <w:rPr>
          <w:szCs w:val="24"/>
          <w:lang w:eastAsia="lt-LT"/>
        </w:rPr>
        <w:t>P</w:t>
      </w:r>
      <w:r w:rsidR="00071EE5" w:rsidRPr="00A67DB0">
        <w:rPr>
          <w:szCs w:val="24"/>
        </w:rPr>
        <w:t>rogramos</w:t>
      </w:r>
      <w:r w:rsidRPr="00A67DB0">
        <w:rPr>
          <w:szCs w:val="24"/>
          <w:lang w:eastAsia="lt-LT"/>
        </w:rPr>
        <w:t xml:space="preserve"> stebėsenos laikotarpį pateikti su </w:t>
      </w:r>
      <w:r w:rsidR="00333A6E" w:rsidRPr="00A67DB0">
        <w:rPr>
          <w:szCs w:val="24"/>
          <w:lang w:eastAsia="lt-LT"/>
        </w:rPr>
        <w:t>P</w:t>
      </w:r>
      <w:r w:rsidR="00071EE5" w:rsidRPr="00A67DB0">
        <w:rPr>
          <w:szCs w:val="24"/>
        </w:rPr>
        <w:t>rogramos</w:t>
      </w:r>
      <w:r w:rsidRPr="00A67DB0">
        <w:rPr>
          <w:szCs w:val="24"/>
          <w:lang w:eastAsia="lt-LT"/>
        </w:rPr>
        <w:t xml:space="preserve"> įgyvendinimu susijusius dokumentus ir (ar) tinkamai patvirtintas jų kopijas;“.</w:t>
      </w:r>
    </w:p>
    <w:p w14:paraId="11EAB011" w14:textId="594F1BDD" w:rsidR="00660183" w:rsidRPr="00A67DB0" w:rsidRDefault="00B0005B" w:rsidP="00660183">
      <w:pPr>
        <w:pStyle w:val="ListParagraph"/>
        <w:numPr>
          <w:ilvl w:val="1"/>
          <w:numId w:val="2"/>
        </w:numPr>
        <w:tabs>
          <w:tab w:val="left" w:pos="1276"/>
          <w:tab w:val="left" w:pos="1418"/>
        </w:tabs>
        <w:ind w:left="0" w:firstLine="851"/>
        <w:jc w:val="both"/>
        <w:rPr>
          <w:szCs w:val="24"/>
        </w:rPr>
      </w:pPr>
      <w:r w:rsidRPr="00A67DB0">
        <w:rPr>
          <w:szCs w:val="24"/>
        </w:rPr>
        <w:t xml:space="preserve"> P</w:t>
      </w:r>
      <w:r w:rsidRPr="00A67DB0">
        <w:rPr>
          <w:bCs/>
          <w:szCs w:val="24"/>
          <w:lang w:eastAsia="lt-LT"/>
        </w:rPr>
        <w:t>apildau 42.7</w:t>
      </w:r>
      <w:r w:rsidRPr="00A67DB0">
        <w:rPr>
          <w:szCs w:val="24"/>
        </w:rPr>
        <w:t xml:space="preserve"> papunkčiu ir jį išdėstau taip:</w:t>
      </w:r>
    </w:p>
    <w:p w14:paraId="78CB065B" w14:textId="288F9B3D" w:rsidR="00B0005B" w:rsidRPr="00A67DB0" w:rsidRDefault="00B0005B" w:rsidP="00B0005B">
      <w:pPr>
        <w:pStyle w:val="ListParagraph"/>
        <w:tabs>
          <w:tab w:val="left" w:pos="1276"/>
          <w:tab w:val="left" w:pos="1418"/>
        </w:tabs>
        <w:ind w:left="0" w:firstLine="851"/>
        <w:jc w:val="both"/>
        <w:rPr>
          <w:szCs w:val="24"/>
          <w:lang w:eastAsia="lt-LT"/>
        </w:rPr>
      </w:pPr>
      <w:r w:rsidRPr="00A67DB0">
        <w:rPr>
          <w:szCs w:val="24"/>
        </w:rPr>
        <w:t xml:space="preserve">„42.7. </w:t>
      </w:r>
      <w:r w:rsidR="00333A6E" w:rsidRPr="00A67DB0">
        <w:rPr>
          <w:szCs w:val="24"/>
          <w:lang w:eastAsia="lt-LT"/>
        </w:rPr>
        <w:t>P</w:t>
      </w:r>
      <w:r w:rsidR="002B2EB9" w:rsidRPr="00A67DB0">
        <w:rPr>
          <w:szCs w:val="24"/>
        </w:rPr>
        <w:t>rogramos</w:t>
      </w:r>
      <w:r w:rsidRPr="00A67DB0">
        <w:rPr>
          <w:szCs w:val="24"/>
          <w:lang w:eastAsia="lt-LT"/>
        </w:rPr>
        <w:t xml:space="preserve"> vykdytojas turi užtikrinti tvarų ir aplinkai draugišką </w:t>
      </w:r>
      <w:r w:rsidR="00333A6E" w:rsidRPr="00A67DB0">
        <w:rPr>
          <w:szCs w:val="24"/>
          <w:lang w:eastAsia="lt-LT"/>
        </w:rPr>
        <w:t>P</w:t>
      </w:r>
      <w:r w:rsidR="002B2EB9" w:rsidRPr="00A67DB0">
        <w:rPr>
          <w:szCs w:val="24"/>
        </w:rPr>
        <w:t>rogramos</w:t>
      </w:r>
      <w:r w:rsidRPr="00A67DB0">
        <w:rPr>
          <w:szCs w:val="24"/>
          <w:lang w:eastAsia="lt-LT"/>
        </w:rPr>
        <w:t xml:space="preserve"> įgyvendinimą, siekti lygių galimybių ir gerovės visiems.“</w:t>
      </w:r>
    </w:p>
    <w:p w14:paraId="34D65E4E" w14:textId="7EB31201" w:rsidR="00963DED" w:rsidRPr="00A67DB0" w:rsidRDefault="00963DED" w:rsidP="00963DED">
      <w:pPr>
        <w:pStyle w:val="ListParagraph"/>
        <w:numPr>
          <w:ilvl w:val="1"/>
          <w:numId w:val="2"/>
        </w:numPr>
        <w:tabs>
          <w:tab w:val="left" w:pos="1276"/>
          <w:tab w:val="left" w:pos="1418"/>
        </w:tabs>
        <w:jc w:val="both"/>
        <w:rPr>
          <w:szCs w:val="24"/>
        </w:rPr>
      </w:pPr>
      <w:r w:rsidRPr="00A67DB0">
        <w:rPr>
          <w:bCs/>
          <w:szCs w:val="24"/>
          <w:lang w:eastAsia="lt-LT"/>
        </w:rPr>
        <w:t>Pakeičiu 44.1</w:t>
      </w:r>
      <w:r w:rsidRPr="00A67DB0">
        <w:rPr>
          <w:szCs w:val="24"/>
        </w:rPr>
        <w:t xml:space="preserve"> papunktį ir jį išdėstau taip:</w:t>
      </w:r>
    </w:p>
    <w:p w14:paraId="7ED54367" w14:textId="7F998F6A" w:rsidR="00963DED" w:rsidRPr="00A67DB0" w:rsidRDefault="00963DED" w:rsidP="00963DED">
      <w:pPr>
        <w:pStyle w:val="ListParagraph"/>
        <w:tabs>
          <w:tab w:val="left" w:pos="1276"/>
          <w:tab w:val="left" w:pos="1418"/>
        </w:tabs>
        <w:ind w:left="0" w:firstLine="851"/>
        <w:jc w:val="both"/>
        <w:rPr>
          <w:szCs w:val="24"/>
          <w:shd w:val="clear" w:color="auto" w:fill="FFFFFF"/>
          <w:lang w:eastAsia="lt-LT"/>
        </w:rPr>
      </w:pPr>
      <w:r w:rsidRPr="00A67DB0">
        <w:rPr>
          <w:szCs w:val="24"/>
          <w:shd w:val="clear" w:color="auto" w:fill="FFFFFF"/>
          <w:lang w:eastAsia="lt-LT"/>
        </w:rPr>
        <w:t xml:space="preserve">„44.1. stacionari stovykla, kurioje teikiamos nakvynės paslaugos (toliau – Stovykla su nakvyne), – vieno vaiko (dalyvio) dalyvavimo Stovykloje su nakvyne kaina iš Savivaldybės biudžeto lėšų negali viršyti 70 proc. viso kelialapio kainos, o </w:t>
      </w:r>
      <w:r w:rsidRPr="00A67DB0">
        <w:rPr>
          <w:kern w:val="3"/>
          <w:szCs w:val="24"/>
          <w:bdr w:val="none" w:sz="0" w:space="0" w:color="auto" w:frame="1"/>
          <w:lang w:eastAsia="lt-LT"/>
        </w:rPr>
        <w:t>vaikams, esantiems jautresnėje socialinėje situacijoje (Aprašo 8.2–8.7 papunkčiai)</w:t>
      </w:r>
      <w:r w:rsidR="003F4FE3">
        <w:rPr>
          <w:kern w:val="3"/>
          <w:szCs w:val="24"/>
          <w:bdr w:val="none" w:sz="0" w:space="0" w:color="auto" w:frame="1"/>
          <w:lang w:eastAsia="lt-LT"/>
        </w:rPr>
        <w:t>, –</w:t>
      </w:r>
      <w:r w:rsidRPr="00A67DB0">
        <w:rPr>
          <w:kern w:val="3"/>
          <w:szCs w:val="24"/>
          <w:bdr w:val="none" w:sz="0" w:space="0" w:color="auto" w:frame="1"/>
          <w:lang w:eastAsia="lt-LT"/>
        </w:rPr>
        <w:t xml:space="preserve"> </w:t>
      </w:r>
      <w:r w:rsidRPr="00A67DB0">
        <w:rPr>
          <w:szCs w:val="24"/>
          <w:shd w:val="clear" w:color="auto" w:fill="FFFFFF"/>
          <w:lang w:eastAsia="lt-LT"/>
        </w:rPr>
        <w:t>90 proc.;“</w:t>
      </w:r>
    </w:p>
    <w:p w14:paraId="2C76935B" w14:textId="35395A01" w:rsidR="00963DED" w:rsidRPr="00A67DB0" w:rsidRDefault="00963DED" w:rsidP="00963DED">
      <w:pPr>
        <w:pStyle w:val="ListParagraph"/>
        <w:numPr>
          <w:ilvl w:val="1"/>
          <w:numId w:val="2"/>
        </w:numPr>
        <w:tabs>
          <w:tab w:val="left" w:pos="1276"/>
          <w:tab w:val="left" w:pos="1418"/>
        </w:tabs>
        <w:jc w:val="both"/>
        <w:rPr>
          <w:szCs w:val="24"/>
        </w:rPr>
      </w:pPr>
      <w:r w:rsidRPr="00A67DB0">
        <w:rPr>
          <w:bCs/>
          <w:szCs w:val="24"/>
          <w:lang w:eastAsia="lt-LT"/>
        </w:rPr>
        <w:t>Pakeičiu 44.2</w:t>
      </w:r>
      <w:r w:rsidRPr="00A67DB0">
        <w:rPr>
          <w:szCs w:val="24"/>
        </w:rPr>
        <w:t xml:space="preserve"> papunktį ir jį išdėstau taip:</w:t>
      </w:r>
    </w:p>
    <w:p w14:paraId="1EBCB468" w14:textId="4459F16C" w:rsidR="00963DED" w:rsidRPr="00A67DB0" w:rsidRDefault="00963DED" w:rsidP="00963DED">
      <w:pPr>
        <w:pStyle w:val="ListParagraph"/>
        <w:tabs>
          <w:tab w:val="left" w:pos="1276"/>
          <w:tab w:val="left" w:pos="1418"/>
        </w:tabs>
        <w:ind w:left="0" w:firstLine="851"/>
        <w:jc w:val="both"/>
        <w:rPr>
          <w:szCs w:val="24"/>
        </w:rPr>
      </w:pPr>
      <w:r w:rsidRPr="00A67DB0">
        <w:rPr>
          <w:szCs w:val="24"/>
          <w:shd w:val="clear" w:color="auto" w:fill="FFFFFF"/>
          <w:lang w:eastAsia="lt-LT"/>
        </w:rPr>
        <w:t xml:space="preserve">„44.2. dieninė stovykla, kurioje nėra teikiamos nakvynės paslaugos (toliau – Dieninė stovykla), – vieno vaiko (dalyvio) dalyvavimo Dieninėje stovykloje kaina negali viršyti 60 proc. viso kelialapio kainos, o </w:t>
      </w:r>
      <w:r w:rsidRPr="00A67DB0">
        <w:rPr>
          <w:kern w:val="3"/>
          <w:szCs w:val="24"/>
          <w:bdr w:val="none" w:sz="0" w:space="0" w:color="auto" w:frame="1"/>
          <w:lang w:eastAsia="lt-LT"/>
        </w:rPr>
        <w:t>vaikams, esantiems jautresnėje socialinėje situacijoje (Aprašo 8.2–8.7 papunkčiai)</w:t>
      </w:r>
      <w:r w:rsidR="003F4FE3">
        <w:rPr>
          <w:kern w:val="3"/>
          <w:szCs w:val="24"/>
          <w:bdr w:val="none" w:sz="0" w:space="0" w:color="auto" w:frame="1"/>
          <w:lang w:eastAsia="lt-LT"/>
        </w:rPr>
        <w:t>, –</w:t>
      </w:r>
      <w:r w:rsidRPr="00A67DB0">
        <w:rPr>
          <w:kern w:val="3"/>
          <w:szCs w:val="24"/>
          <w:bdr w:val="none" w:sz="0" w:space="0" w:color="auto" w:frame="1"/>
          <w:lang w:eastAsia="lt-LT"/>
        </w:rPr>
        <w:t xml:space="preserve"> </w:t>
      </w:r>
      <w:r w:rsidRPr="00A67DB0">
        <w:rPr>
          <w:szCs w:val="24"/>
          <w:shd w:val="clear" w:color="auto" w:fill="FFFFFF"/>
          <w:lang w:eastAsia="lt-LT"/>
        </w:rPr>
        <w:t>80 proc.“</w:t>
      </w:r>
    </w:p>
    <w:p w14:paraId="3860F59D" w14:textId="5EA98B3A" w:rsidR="00B0005B" w:rsidRPr="00A67DB0" w:rsidRDefault="009C0F67" w:rsidP="00660183">
      <w:pPr>
        <w:pStyle w:val="ListParagraph"/>
        <w:numPr>
          <w:ilvl w:val="1"/>
          <w:numId w:val="2"/>
        </w:numPr>
        <w:tabs>
          <w:tab w:val="left" w:pos="1276"/>
          <w:tab w:val="left" w:pos="1418"/>
        </w:tabs>
        <w:ind w:left="0" w:firstLine="851"/>
        <w:jc w:val="both"/>
        <w:rPr>
          <w:szCs w:val="24"/>
        </w:rPr>
      </w:pPr>
      <w:r w:rsidRPr="00A67DB0">
        <w:rPr>
          <w:bCs/>
          <w:szCs w:val="24"/>
          <w:lang w:eastAsia="lt-LT"/>
        </w:rPr>
        <w:t>Pakeičiu 5</w:t>
      </w:r>
      <w:r w:rsidR="00032E00" w:rsidRPr="00A67DB0">
        <w:rPr>
          <w:bCs/>
          <w:szCs w:val="24"/>
          <w:lang w:eastAsia="lt-LT"/>
        </w:rPr>
        <w:t>0</w:t>
      </w:r>
      <w:r w:rsidRPr="00A67DB0">
        <w:rPr>
          <w:bCs/>
          <w:szCs w:val="24"/>
          <w:lang w:eastAsia="lt-LT"/>
        </w:rPr>
        <w:t>.</w:t>
      </w:r>
      <w:r w:rsidR="00032E00" w:rsidRPr="00A67DB0">
        <w:rPr>
          <w:bCs/>
          <w:szCs w:val="24"/>
          <w:lang w:eastAsia="lt-LT"/>
        </w:rPr>
        <w:t>1</w:t>
      </w:r>
      <w:r w:rsidRPr="00A67DB0">
        <w:rPr>
          <w:szCs w:val="24"/>
        </w:rPr>
        <w:t xml:space="preserve"> papunktį ir jį išdėstau taip:</w:t>
      </w:r>
    </w:p>
    <w:p w14:paraId="1153E0B6" w14:textId="4FC3F6F2" w:rsidR="009C0F67" w:rsidRPr="00A67DB0" w:rsidRDefault="009C0F67" w:rsidP="009C0F67">
      <w:pPr>
        <w:pStyle w:val="ListParagraph"/>
        <w:tabs>
          <w:tab w:val="left" w:pos="1276"/>
          <w:tab w:val="left" w:pos="1418"/>
        </w:tabs>
        <w:ind w:left="0" w:firstLine="851"/>
        <w:jc w:val="both"/>
        <w:rPr>
          <w:szCs w:val="24"/>
        </w:rPr>
      </w:pPr>
      <w:r w:rsidRPr="00A67DB0">
        <w:rPr>
          <w:szCs w:val="24"/>
        </w:rPr>
        <w:t>„5</w:t>
      </w:r>
      <w:r w:rsidR="00032E00" w:rsidRPr="00A67DB0">
        <w:rPr>
          <w:szCs w:val="24"/>
        </w:rPr>
        <w:t>0</w:t>
      </w:r>
      <w:r w:rsidRPr="00A67DB0">
        <w:rPr>
          <w:szCs w:val="24"/>
        </w:rPr>
        <w:t>.</w:t>
      </w:r>
      <w:r w:rsidR="00032E00" w:rsidRPr="00A67DB0">
        <w:rPr>
          <w:szCs w:val="24"/>
        </w:rPr>
        <w:t>1</w:t>
      </w:r>
      <w:r w:rsidRPr="00A67DB0">
        <w:rPr>
          <w:szCs w:val="24"/>
        </w:rPr>
        <w:t>. ilgalaikiam materialiajam turtui įsigyti, kurio vertė 750 eurų, k</w:t>
      </w:r>
      <w:r w:rsidRPr="00A67DB0">
        <w:rPr>
          <w:szCs w:val="24"/>
          <w:shd w:val="clear" w:color="auto" w:fill="FFFFFF"/>
        </w:rPr>
        <w:t xml:space="preserve">aip jis apibrėžtas 12-ajame viešojo sektoriaus apskaitos ir finansinės atskaitomybės standarte „Ilgalaikis materialusis </w:t>
      </w:r>
      <w:r w:rsidRPr="00A67DB0">
        <w:rPr>
          <w:szCs w:val="24"/>
          <w:shd w:val="clear" w:color="auto" w:fill="FFFFFF"/>
        </w:rPr>
        <w:lastRenderedPageBreak/>
        <w:t>turtas“, patvirtintame Lietuvos Respublikos finansų ministro 2008 m. gegužės 8 d. įsakymu Nr. 1K-174 „Dėl Viešojo sektoriaus apskaitos ir finansinės atskaitomybės 12-ojo standarto patvirtinimo“</w:t>
      </w:r>
      <w:r w:rsidRPr="00A67DB0">
        <w:rPr>
          <w:szCs w:val="24"/>
        </w:rPr>
        <w:t>;“.</w:t>
      </w:r>
    </w:p>
    <w:p w14:paraId="2BAFED59" w14:textId="294F0AE3" w:rsidR="009C0F67" w:rsidRPr="00A67DB0" w:rsidRDefault="00326EB4" w:rsidP="00660183">
      <w:pPr>
        <w:pStyle w:val="ListParagraph"/>
        <w:numPr>
          <w:ilvl w:val="1"/>
          <w:numId w:val="2"/>
        </w:numPr>
        <w:tabs>
          <w:tab w:val="left" w:pos="1276"/>
          <w:tab w:val="left" w:pos="1418"/>
        </w:tabs>
        <w:ind w:left="0" w:firstLine="851"/>
        <w:jc w:val="both"/>
        <w:rPr>
          <w:szCs w:val="24"/>
        </w:rPr>
      </w:pPr>
      <w:r w:rsidRPr="00A67DB0">
        <w:rPr>
          <w:bCs/>
          <w:szCs w:val="24"/>
          <w:lang w:eastAsia="lt-LT"/>
        </w:rPr>
        <w:t>Pakeičiu 6</w:t>
      </w:r>
      <w:r w:rsidR="005F72B0" w:rsidRPr="00A67DB0">
        <w:rPr>
          <w:bCs/>
          <w:szCs w:val="24"/>
          <w:lang w:eastAsia="lt-LT"/>
        </w:rPr>
        <w:t>1</w:t>
      </w:r>
      <w:r w:rsidRPr="00A67DB0">
        <w:rPr>
          <w:szCs w:val="24"/>
        </w:rPr>
        <w:t xml:space="preserve"> punktą ir jį išdėstau taip:</w:t>
      </w:r>
    </w:p>
    <w:p w14:paraId="55182DF1" w14:textId="58F55D85" w:rsidR="00326EB4" w:rsidRPr="00A67DB0" w:rsidRDefault="00326EB4" w:rsidP="00326EB4">
      <w:pPr>
        <w:pStyle w:val="ListParagraph"/>
        <w:tabs>
          <w:tab w:val="left" w:pos="1276"/>
          <w:tab w:val="left" w:pos="1418"/>
        </w:tabs>
        <w:ind w:left="0" w:firstLine="851"/>
        <w:jc w:val="both"/>
        <w:rPr>
          <w:szCs w:val="24"/>
        </w:rPr>
      </w:pPr>
      <w:r w:rsidRPr="00A67DB0">
        <w:rPr>
          <w:szCs w:val="24"/>
        </w:rPr>
        <w:t>„6</w:t>
      </w:r>
      <w:r w:rsidR="005F72B0" w:rsidRPr="00A67DB0">
        <w:rPr>
          <w:szCs w:val="24"/>
        </w:rPr>
        <w:t>1</w:t>
      </w:r>
      <w:r w:rsidRPr="00A67DB0">
        <w:rPr>
          <w:szCs w:val="24"/>
        </w:rPr>
        <w:t xml:space="preserve">. </w:t>
      </w:r>
      <w:r w:rsidR="005F72B0" w:rsidRPr="00A67DB0">
        <w:rPr>
          <w:szCs w:val="24"/>
        </w:rPr>
        <w:t>Vertinimo k</w:t>
      </w:r>
      <w:r w:rsidRPr="00A67DB0">
        <w:rPr>
          <w:szCs w:val="24"/>
        </w:rPr>
        <w:t>omisijos narys privalo nusišalinti nuo paraiškos vertinimo ir balsavimo, jeigu yra aplinkybių (pvz.: iš pareiškėjo komisijos narys ar jam artimi asmenys gauna pajamų ar kitokio pobūdžio naudos; komisijos narys ar jam artimi asmenys yra pareiškėjo vadovas, steigėjas, akcininkas ar dalininkas, darbuotojas ar valdymo organo narys), galinčių turėti įtakos priimant sprendimą dėl paraiškos finansavimo. 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w:t>
      </w:r>
    </w:p>
    <w:p w14:paraId="491C043A" w14:textId="1946377A" w:rsidR="00326EB4" w:rsidRPr="00A67DB0" w:rsidRDefault="005F72B0" w:rsidP="00660183">
      <w:pPr>
        <w:pStyle w:val="ListParagraph"/>
        <w:numPr>
          <w:ilvl w:val="1"/>
          <w:numId w:val="2"/>
        </w:numPr>
        <w:tabs>
          <w:tab w:val="left" w:pos="1276"/>
          <w:tab w:val="left" w:pos="1418"/>
        </w:tabs>
        <w:ind w:left="0" w:firstLine="851"/>
        <w:jc w:val="both"/>
        <w:rPr>
          <w:szCs w:val="24"/>
        </w:rPr>
      </w:pPr>
      <w:r w:rsidRPr="00A67DB0">
        <w:rPr>
          <w:szCs w:val="24"/>
        </w:rPr>
        <w:t xml:space="preserve"> </w:t>
      </w:r>
      <w:r w:rsidRPr="00A67DB0">
        <w:rPr>
          <w:bCs/>
          <w:szCs w:val="24"/>
          <w:lang w:eastAsia="lt-LT"/>
        </w:rPr>
        <w:t>Pakeičiu 64</w:t>
      </w:r>
      <w:r w:rsidRPr="00A67DB0">
        <w:rPr>
          <w:szCs w:val="24"/>
        </w:rPr>
        <w:t xml:space="preserve"> punktą ir jį išdėstau taip:</w:t>
      </w:r>
    </w:p>
    <w:p w14:paraId="1FA43F07" w14:textId="5811A54F" w:rsidR="005F72B0" w:rsidRPr="00A67DB0" w:rsidRDefault="005F72B0" w:rsidP="005F72B0">
      <w:pPr>
        <w:pStyle w:val="ListParagraph"/>
        <w:tabs>
          <w:tab w:val="left" w:pos="1276"/>
          <w:tab w:val="left" w:pos="1418"/>
        </w:tabs>
        <w:ind w:left="0" w:firstLine="851"/>
        <w:jc w:val="both"/>
        <w:rPr>
          <w:szCs w:val="24"/>
        </w:rPr>
      </w:pPr>
      <w:r w:rsidRPr="00A67DB0">
        <w:rPr>
          <w:szCs w:val="24"/>
          <w:lang w:eastAsia="lt-LT"/>
        </w:rPr>
        <w:t>„64. Paraiškos turi būti įvertintos per laikotarpį, ne ilgesnį kaip 20 (dvidešimt) darbo dienų, pradedant skaičiuoti nuo vertintinų paraiškų pateikimo Vertinimo komisijos nariams dienos iki Konkurso koordinatoriaus parengtos Vertinimo komisijos narių paraiškų vertinimų suvestinės pateikimo Vertinimo komisijai dienos.“</w:t>
      </w:r>
    </w:p>
    <w:p w14:paraId="1BBCDC04" w14:textId="6CE1490F" w:rsidR="005F72B0" w:rsidRPr="00A67DB0" w:rsidRDefault="008775BE" w:rsidP="00660183">
      <w:pPr>
        <w:pStyle w:val="ListParagraph"/>
        <w:numPr>
          <w:ilvl w:val="1"/>
          <w:numId w:val="2"/>
        </w:numPr>
        <w:tabs>
          <w:tab w:val="left" w:pos="1276"/>
          <w:tab w:val="left" w:pos="1418"/>
        </w:tabs>
        <w:ind w:left="0" w:firstLine="851"/>
        <w:jc w:val="both"/>
        <w:rPr>
          <w:szCs w:val="24"/>
        </w:rPr>
      </w:pPr>
      <w:r w:rsidRPr="00A67DB0">
        <w:rPr>
          <w:bCs/>
          <w:szCs w:val="24"/>
          <w:lang w:eastAsia="lt-LT"/>
        </w:rPr>
        <w:t>Pakeičiu 90</w:t>
      </w:r>
      <w:r w:rsidRPr="00A67DB0">
        <w:rPr>
          <w:szCs w:val="24"/>
        </w:rPr>
        <w:t xml:space="preserve"> punktą ir jį išdėstau taip:</w:t>
      </w:r>
    </w:p>
    <w:p w14:paraId="765E940A" w14:textId="2466299C" w:rsidR="008775BE" w:rsidRPr="00A67DB0" w:rsidRDefault="008775BE" w:rsidP="008775BE">
      <w:pPr>
        <w:pStyle w:val="ListParagraph"/>
        <w:tabs>
          <w:tab w:val="left" w:pos="1276"/>
          <w:tab w:val="left" w:pos="1418"/>
        </w:tabs>
        <w:ind w:left="0" w:firstLine="851"/>
        <w:jc w:val="both"/>
        <w:rPr>
          <w:szCs w:val="24"/>
        </w:rPr>
      </w:pPr>
      <w:r w:rsidRPr="00A67DB0">
        <w:rPr>
          <w:szCs w:val="24"/>
        </w:rPr>
        <w:t xml:space="preserve">„90. Sutartis tarp Savivaldybės administracijos ir Stovyklos organizatoriaus sudaroma ne vėliau nei per 20 (dvidešimt) darbo dienų nuo </w:t>
      </w:r>
      <w:r w:rsidR="003F4FE3">
        <w:rPr>
          <w:szCs w:val="24"/>
        </w:rPr>
        <w:t>į</w:t>
      </w:r>
      <w:r w:rsidRPr="00A67DB0">
        <w:rPr>
          <w:szCs w:val="24"/>
        </w:rPr>
        <w:t>sakymo dėl Savivaldybės biudžeto lėšų skyrimo Stovyklos programai įgyvendinti priėmimo dienos.“</w:t>
      </w:r>
    </w:p>
    <w:p w14:paraId="528B1E8A" w14:textId="73B653FC" w:rsidR="00333A6E" w:rsidRPr="00A67DB0" w:rsidRDefault="00333A6E" w:rsidP="00333A6E">
      <w:pPr>
        <w:pStyle w:val="ListParagraph"/>
        <w:numPr>
          <w:ilvl w:val="0"/>
          <w:numId w:val="3"/>
        </w:numPr>
        <w:tabs>
          <w:tab w:val="left" w:pos="1276"/>
          <w:tab w:val="left" w:pos="1418"/>
        </w:tabs>
        <w:ind w:left="0" w:firstLine="851"/>
        <w:jc w:val="both"/>
        <w:rPr>
          <w:szCs w:val="24"/>
        </w:rPr>
      </w:pPr>
      <w:r w:rsidRPr="00A67DB0">
        <w:rPr>
          <w:szCs w:val="24"/>
        </w:rPr>
        <w:t xml:space="preserve">Pakeičiu nurodytu įsakymu patvirtintą </w:t>
      </w:r>
      <w:r w:rsidRPr="00A67DB0">
        <w:rPr>
          <w:szCs w:val="24"/>
          <w:lang w:eastAsia="en-GB"/>
        </w:rPr>
        <w:t>Kėdainių rajono savivaldybės vaikų vasaros stovyklų ir kitų neformaliojo vaikų švietimo veiklų programų konkurso tvarkos aprašo 1 priedą:</w:t>
      </w:r>
    </w:p>
    <w:p w14:paraId="3E87D22E" w14:textId="4A9C7944" w:rsidR="00C73EF0" w:rsidRPr="00BA3FC7" w:rsidRDefault="00BA3FC7" w:rsidP="00BA3FC7">
      <w:pPr>
        <w:pStyle w:val="ListParagraph"/>
        <w:numPr>
          <w:ilvl w:val="1"/>
          <w:numId w:val="4"/>
        </w:numPr>
        <w:tabs>
          <w:tab w:val="left" w:pos="1276"/>
          <w:tab w:val="left" w:pos="1418"/>
        </w:tabs>
        <w:jc w:val="both"/>
        <w:rPr>
          <w:szCs w:val="24"/>
        </w:rPr>
      </w:pPr>
      <w:bookmarkStart w:id="2" w:name="_Hlk194323558"/>
      <w:r>
        <w:rPr>
          <w:szCs w:val="24"/>
          <w:lang w:eastAsia="lt-LT"/>
        </w:rPr>
        <w:t xml:space="preserve"> </w:t>
      </w:r>
      <w:r w:rsidR="00017CE4" w:rsidRPr="00BA3FC7">
        <w:rPr>
          <w:szCs w:val="24"/>
          <w:lang w:eastAsia="lt-LT"/>
        </w:rPr>
        <w:t>Pakeičiu 12 punktą ir jį išdėstau taip</w:t>
      </w:r>
      <w:bookmarkEnd w:id="2"/>
      <w:r w:rsidR="00017CE4" w:rsidRPr="00BA3FC7">
        <w:rPr>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21"/>
        <w:gridCol w:w="2409"/>
      </w:tblGrid>
      <w:tr w:rsidR="00A67DB0" w:rsidRPr="00A67DB0" w14:paraId="2783F6FE" w14:textId="77777777" w:rsidTr="006E0284">
        <w:tc>
          <w:tcPr>
            <w:tcW w:w="704" w:type="dxa"/>
            <w:vMerge w:val="restart"/>
          </w:tcPr>
          <w:p w14:paraId="72D78D93" w14:textId="180D5659" w:rsidR="00017CE4" w:rsidRPr="00A67DB0" w:rsidRDefault="00017CE4" w:rsidP="006E0284">
            <w:pPr>
              <w:rPr>
                <w:b/>
                <w:bCs/>
                <w:kern w:val="2"/>
                <w:szCs w:val="22"/>
                <w:lang w:eastAsia="lt-LT"/>
                <w14:ligatures w14:val="standardContextual"/>
              </w:rPr>
            </w:pPr>
            <w:r w:rsidRPr="00A67DB0">
              <w:rPr>
                <w:kern w:val="2"/>
                <w:szCs w:val="22"/>
                <w:lang w:eastAsia="lt-LT"/>
                <w14:ligatures w14:val="standardContextual"/>
              </w:rPr>
              <w:t>„</w:t>
            </w:r>
            <w:r w:rsidRPr="00A67DB0">
              <w:rPr>
                <w:b/>
                <w:bCs/>
                <w:kern w:val="2"/>
                <w:szCs w:val="22"/>
                <w:lang w:eastAsia="lt-LT"/>
                <w14:ligatures w14:val="standardContextual"/>
              </w:rPr>
              <w:t xml:space="preserve">12. </w:t>
            </w:r>
          </w:p>
        </w:tc>
        <w:tc>
          <w:tcPr>
            <w:tcW w:w="8930" w:type="dxa"/>
            <w:gridSpan w:val="2"/>
          </w:tcPr>
          <w:p w14:paraId="525F27BA" w14:textId="0AD0A303" w:rsidR="00017CE4" w:rsidRPr="00A67DB0" w:rsidRDefault="00017CE4" w:rsidP="006E0284">
            <w:pPr>
              <w:rPr>
                <w:kern w:val="2"/>
                <w:sz w:val="20"/>
                <w:lang w:eastAsia="lt-LT"/>
                <w14:ligatures w14:val="standardContextual"/>
              </w:rPr>
            </w:pPr>
            <w:r w:rsidRPr="00A67DB0">
              <w:rPr>
                <w:rFonts w:eastAsia="Calibri"/>
                <w:b/>
                <w:bCs/>
                <w:sz w:val="22"/>
                <w:szCs w:val="22"/>
              </w:rPr>
              <w:t>Stovyklos dalyviai</w:t>
            </w:r>
            <w:r w:rsidRPr="00A67DB0">
              <w:rPr>
                <w:rFonts w:eastAsia="Calibri"/>
                <w:sz w:val="20"/>
              </w:rPr>
              <w:t xml:space="preserve"> </w:t>
            </w:r>
            <w:r w:rsidRPr="00A67DB0">
              <w:rPr>
                <w:i/>
                <w:sz w:val="20"/>
                <w:lang w:eastAsia="ar-SA"/>
              </w:rPr>
              <w:t>(Apibūdinkite, kuriai (-</w:t>
            </w:r>
            <w:proofErr w:type="spellStart"/>
            <w:r w:rsidRPr="00A67DB0">
              <w:rPr>
                <w:i/>
                <w:sz w:val="20"/>
                <w:lang w:eastAsia="ar-SA"/>
              </w:rPr>
              <w:t>ioms</w:t>
            </w:r>
            <w:proofErr w:type="spellEnd"/>
            <w:r w:rsidRPr="00A67DB0">
              <w:rPr>
                <w:i/>
                <w:sz w:val="20"/>
                <w:lang w:eastAsia="ar-SA"/>
              </w:rPr>
              <w:t xml:space="preserve">) </w:t>
            </w:r>
            <w:r w:rsidRPr="00A67DB0">
              <w:rPr>
                <w:rFonts w:eastAsia="Calibri"/>
                <w:i/>
                <w:iCs/>
                <w:sz w:val="20"/>
              </w:rPr>
              <w:t>Stovyklos dalyvių</w:t>
            </w:r>
            <w:r w:rsidRPr="00A67DB0">
              <w:rPr>
                <w:b/>
                <w:bCs/>
                <w:i/>
                <w:iCs/>
                <w:sz w:val="20"/>
                <w:lang w:eastAsia="ar-SA"/>
              </w:rPr>
              <w:t xml:space="preserve"> </w:t>
            </w:r>
            <w:r w:rsidRPr="00A67DB0">
              <w:rPr>
                <w:rFonts w:eastAsia="Calibri"/>
                <w:i/>
                <w:iCs/>
                <w:sz w:val="20"/>
              </w:rPr>
              <w:t>grupei (-</w:t>
            </w:r>
            <w:proofErr w:type="spellStart"/>
            <w:r w:rsidRPr="00A67DB0">
              <w:rPr>
                <w:rFonts w:eastAsia="Calibri"/>
                <w:i/>
                <w:iCs/>
                <w:sz w:val="20"/>
              </w:rPr>
              <w:t>ėms</w:t>
            </w:r>
            <w:proofErr w:type="spellEnd"/>
            <w:r w:rsidRPr="00A67DB0">
              <w:rPr>
                <w:rFonts w:eastAsia="Calibri"/>
                <w:i/>
                <w:iCs/>
                <w:sz w:val="20"/>
              </w:rPr>
              <w:t>) skirta Programa, nurodyti skaičių</w:t>
            </w:r>
            <w:r w:rsidR="005007E6" w:rsidRPr="00A67DB0">
              <w:rPr>
                <w:rFonts w:eastAsia="Calibri"/>
                <w:i/>
                <w:iCs/>
                <w:sz w:val="20"/>
              </w:rPr>
              <w:t>, pagal Aprašo 8.1–8.7 papunkčius</w:t>
            </w:r>
            <w:r w:rsidRPr="00A67DB0">
              <w:rPr>
                <w:rFonts w:eastAsia="Calibri"/>
                <w:i/>
                <w:iCs/>
                <w:sz w:val="20"/>
              </w:rPr>
              <w:t>)</w:t>
            </w:r>
          </w:p>
        </w:tc>
      </w:tr>
      <w:tr w:rsidR="00A67DB0" w:rsidRPr="00A67DB0" w14:paraId="06AB6BF1" w14:textId="41ABCE8F" w:rsidTr="005007E6">
        <w:tc>
          <w:tcPr>
            <w:tcW w:w="704" w:type="dxa"/>
            <w:vMerge/>
          </w:tcPr>
          <w:p w14:paraId="0CA741BF" w14:textId="77777777" w:rsidR="00017CE4" w:rsidRPr="00A67DB0" w:rsidRDefault="00017CE4" w:rsidP="006E0284">
            <w:pPr>
              <w:rPr>
                <w:kern w:val="2"/>
                <w:szCs w:val="22"/>
                <w:lang w:eastAsia="lt-LT"/>
                <w14:ligatures w14:val="standardContextual"/>
              </w:rPr>
            </w:pPr>
          </w:p>
        </w:tc>
        <w:tc>
          <w:tcPr>
            <w:tcW w:w="6521" w:type="dxa"/>
          </w:tcPr>
          <w:p w14:paraId="0791FD34" w14:textId="77777777" w:rsidR="00017CE4" w:rsidRPr="00A67DB0" w:rsidRDefault="00017CE4" w:rsidP="006E0284">
            <w:pPr>
              <w:rPr>
                <w:rFonts w:eastAsia="Calibri"/>
                <w:sz w:val="22"/>
                <w:szCs w:val="22"/>
              </w:rPr>
            </w:pPr>
            <w:r w:rsidRPr="00A67DB0">
              <w:rPr>
                <w:rFonts w:eastAsia="Calibri"/>
                <w:sz w:val="22"/>
                <w:szCs w:val="22"/>
              </w:rPr>
              <w:t xml:space="preserve">iš viso dalyvių, iš jų: </w:t>
            </w:r>
          </w:p>
        </w:tc>
        <w:tc>
          <w:tcPr>
            <w:tcW w:w="2409" w:type="dxa"/>
          </w:tcPr>
          <w:p w14:paraId="77202248" w14:textId="77777777" w:rsidR="00017CE4" w:rsidRPr="00A67DB0" w:rsidRDefault="00017CE4" w:rsidP="00017CE4">
            <w:pPr>
              <w:rPr>
                <w:rFonts w:eastAsia="Calibri"/>
                <w:sz w:val="22"/>
                <w:szCs w:val="22"/>
              </w:rPr>
            </w:pPr>
          </w:p>
        </w:tc>
      </w:tr>
      <w:tr w:rsidR="00A67DB0" w:rsidRPr="00A67DB0" w14:paraId="07F395B2" w14:textId="77777777" w:rsidTr="005007E6">
        <w:trPr>
          <w:trHeight w:val="366"/>
        </w:trPr>
        <w:tc>
          <w:tcPr>
            <w:tcW w:w="704" w:type="dxa"/>
            <w:vMerge/>
          </w:tcPr>
          <w:p w14:paraId="7958AAEE" w14:textId="77777777" w:rsidR="00017CE4" w:rsidRPr="00A67DB0" w:rsidRDefault="00017CE4" w:rsidP="006E0284">
            <w:pPr>
              <w:rPr>
                <w:kern w:val="2"/>
                <w:szCs w:val="22"/>
                <w:lang w:eastAsia="lt-LT"/>
                <w14:ligatures w14:val="standardContextual"/>
              </w:rPr>
            </w:pPr>
          </w:p>
        </w:tc>
        <w:tc>
          <w:tcPr>
            <w:tcW w:w="6521" w:type="dxa"/>
          </w:tcPr>
          <w:p w14:paraId="59A25702" w14:textId="77777777" w:rsidR="00017CE4" w:rsidRPr="00A67DB0" w:rsidRDefault="00017CE4" w:rsidP="006E0284">
            <w:pPr>
              <w:jc w:val="both"/>
              <w:rPr>
                <w:kern w:val="2"/>
                <w:szCs w:val="22"/>
                <w:lang w:eastAsia="lt-LT"/>
                <w14:ligatures w14:val="standardContextual"/>
              </w:rPr>
            </w:pPr>
            <w:r w:rsidRPr="00A67DB0">
              <w:rPr>
                <w:kern w:val="3"/>
                <w:sz w:val="22"/>
                <w:szCs w:val="22"/>
                <w:lang w:eastAsia="lt-LT"/>
              </w:rPr>
              <w:t>vaikai 7 (6)–18 metų amžiaus</w:t>
            </w:r>
          </w:p>
        </w:tc>
        <w:tc>
          <w:tcPr>
            <w:tcW w:w="2409" w:type="dxa"/>
          </w:tcPr>
          <w:p w14:paraId="43F0CCF4" w14:textId="77777777" w:rsidR="00017CE4" w:rsidRPr="00A67DB0" w:rsidRDefault="00017CE4" w:rsidP="006E0284">
            <w:pPr>
              <w:ind w:firstLine="62"/>
              <w:rPr>
                <w:kern w:val="2"/>
                <w:szCs w:val="22"/>
                <w:lang w:eastAsia="lt-LT"/>
                <w14:ligatures w14:val="standardContextual"/>
              </w:rPr>
            </w:pPr>
          </w:p>
        </w:tc>
      </w:tr>
      <w:tr w:rsidR="00A67DB0" w:rsidRPr="00A67DB0" w14:paraId="6FAB5E05" w14:textId="77777777" w:rsidTr="005007E6">
        <w:tc>
          <w:tcPr>
            <w:tcW w:w="704" w:type="dxa"/>
            <w:vMerge/>
          </w:tcPr>
          <w:p w14:paraId="26C2741B" w14:textId="77777777" w:rsidR="00017CE4" w:rsidRPr="00A67DB0" w:rsidRDefault="00017CE4" w:rsidP="006E0284">
            <w:pPr>
              <w:rPr>
                <w:kern w:val="2"/>
                <w:szCs w:val="22"/>
                <w:lang w:eastAsia="lt-LT"/>
                <w14:ligatures w14:val="standardContextual"/>
              </w:rPr>
            </w:pPr>
          </w:p>
        </w:tc>
        <w:tc>
          <w:tcPr>
            <w:tcW w:w="6521" w:type="dxa"/>
          </w:tcPr>
          <w:p w14:paraId="0CECEA42" w14:textId="77777777" w:rsidR="00017CE4" w:rsidRPr="00A67DB0" w:rsidRDefault="00017CE4" w:rsidP="006E0284">
            <w:pPr>
              <w:jc w:val="both"/>
              <w:rPr>
                <w:kern w:val="2"/>
                <w:szCs w:val="22"/>
                <w:lang w:eastAsia="lt-LT"/>
                <w14:ligatures w14:val="standardContextual"/>
              </w:rPr>
            </w:pPr>
            <w:r w:rsidRPr="00A67DB0">
              <w:rPr>
                <w:kern w:val="3"/>
                <w:sz w:val="22"/>
                <w:szCs w:val="22"/>
                <w:lang w:eastAsia="lt-LT"/>
              </w:rPr>
              <w:t>vaikai, augantys šeimose, kuriose patiria socialinę riziką, vaikai, kuriems nustatyta minimali priežiūra, vaikai, kuriems nustatyta laikinoji ir (ar) nuolatinė globa (rūpyba)</w:t>
            </w:r>
          </w:p>
        </w:tc>
        <w:tc>
          <w:tcPr>
            <w:tcW w:w="2409" w:type="dxa"/>
          </w:tcPr>
          <w:p w14:paraId="77E38D29" w14:textId="77777777" w:rsidR="00017CE4" w:rsidRPr="00A67DB0" w:rsidRDefault="00017CE4" w:rsidP="006E0284">
            <w:pPr>
              <w:rPr>
                <w:kern w:val="2"/>
                <w:szCs w:val="22"/>
                <w:lang w:eastAsia="lt-LT"/>
                <w14:ligatures w14:val="standardContextual"/>
              </w:rPr>
            </w:pPr>
          </w:p>
        </w:tc>
      </w:tr>
      <w:tr w:rsidR="00A67DB0" w:rsidRPr="00A67DB0" w14:paraId="53F66309" w14:textId="77777777" w:rsidTr="005007E6">
        <w:tc>
          <w:tcPr>
            <w:tcW w:w="704" w:type="dxa"/>
            <w:vMerge/>
          </w:tcPr>
          <w:p w14:paraId="1C42D709" w14:textId="77777777" w:rsidR="00017CE4" w:rsidRPr="00A67DB0" w:rsidRDefault="00017CE4" w:rsidP="006E0284">
            <w:pPr>
              <w:rPr>
                <w:kern w:val="2"/>
                <w:szCs w:val="22"/>
                <w:lang w:eastAsia="lt-LT"/>
                <w14:ligatures w14:val="standardContextual"/>
              </w:rPr>
            </w:pPr>
          </w:p>
        </w:tc>
        <w:tc>
          <w:tcPr>
            <w:tcW w:w="6521" w:type="dxa"/>
          </w:tcPr>
          <w:p w14:paraId="4B40396E" w14:textId="77777777" w:rsidR="00017CE4" w:rsidRPr="00A67DB0" w:rsidRDefault="00017CE4" w:rsidP="006E0284">
            <w:pPr>
              <w:jc w:val="both"/>
              <w:rPr>
                <w:kern w:val="2"/>
                <w:szCs w:val="22"/>
                <w:lang w:eastAsia="lt-LT"/>
                <w14:ligatures w14:val="standardContextual"/>
              </w:rPr>
            </w:pPr>
            <w:r w:rsidRPr="00A67DB0">
              <w:rPr>
                <w:kern w:val="3"/>
                <w:sz w:val="22"/>
                <w:szCs w:val="22"/>
                <w:lang w:eastAsia="lt-LT"/>
              </w:rPr>
              <w:t xml:space="preserve">vaikai iš </w:t>
            </w:r>
            <w:r w:rsidRPr="00A67DB0">
              <w:rPr>
                <w:kern w:val="3"/>
                <w:sz w:val="22"/>
                <w:szCs w:val="22"/>
              </w:rPr>
              <w:t>šeimų, gaunančių socialinę pašalpą pagal Lietuvos Respublikos piniginės socialinės paramos nepasiturintiems gyventojams įstatymą</w:t>
            </w:r>
          </w:p>
        </w:tc>
        <w:tc>
          <w:tcPr>
            <w:tcW w:w="2409" w:type="dxa"/>
          </w:tcPr>
          <w:p w14:paraId="79E7FD89" w14:textId="77777777" w:rsidR="00017CE4" w:rsidRPr="00A67DB0" w:rsidRDefault="00017CE4" w:rsidP="006E0284">
            <w:pPr>
              <w:rPr>
                <w:kern w:val="2"/>
                <w:szCs w:val="22"/>
                <w:lang w:eastAsia="lt-LT"/>
                <w14:ligatures w14:val="standardContextual"/>
              </w:rPr>
            </w:pPr>
          </w:p>
        </w:tc>
      </w:tr>
      <w:tr w:rsidR="00A67DB0" w:rsidRPr="00A67DB0" w14:paraId="7A0A8E8D" w14:textId="77777777" w:rsidTr="005007E6">
        <w:tc>
          <w:tcPr>
            <w:tcW w:w="704" w:type="dxa"/>
            <w:vMerge/>
          </w:tcPr>
          <w:p w14:paraId="2E422A43" w14:textId="77777777" w:rsidR="00017CE4" w:rsidRPr="00A67DB0" w:rsidRDefault="00017CE4" w:rsidP="006E0284">
            <w:pPr>
              <w:rPr>
                <w:kern w:val="2"/>
                <w:szCs w:val="22"/>
                <w:lang w:eastAsia="lt-LT"/>
                <w14:ligatures w14:val="standardContextual"/>
              </w:rPr>
            </w:pPr>
          </w:p>
        </w:tc>
        <w:tc>
          <w:tcPr>
            <w:tcW w:w="6521" w:type="dxa"/>
          </w:tcPr>
          <w:p w14:paraId="3B5C0596" w14:textId="77777777" w:rsidR="00017CE4" w:rsidRPr="00A67DB0" w:rsidRDefault="00017CE4" w:rsidP="006E0284">
            <w:pPr>
              <w:jc w:val="both"/>
              <w:rPr>
                <w:kern w:val="2"/>
                <w:szCs w:val="22"/>
                <w:lang w:eastAsia="lt-LT"/>
                <w14:ligatures w14:val="standardContextual"/>
              </w:rPr>
            </w:pPr>
            <w:r w:rsidRPr="00A67DB0">
              <w:rPr>
                <w:kern w:val="3"/>
                <w:sz w:val="22"/>
                <w:szCs w:val="22"/>
                <w:lang w:eastAsia="lt-LT"/>
              </w:rPr>
              <w:t>vaikai, turintys specialiųjų ugdymosi poreikių, atsiradusių dėl įgimtų ar įgytų sutrikimų, nepalankių aplinkos veiksnių</w:t>
            </w:r>
          </w:p>
        </w:tc>
        <w:tc>
          <w:tcPr>
            <w:tcW w:w="2409" w:type="dxa"/>
          </w:tcPr>
          <w:p w14:paraId="544F1CA3" w14:textId="77777777" w:rsidR="00017CE4" w:rsidRPr="00A67DB0" w:rsidRDefault="00017CE4" w:rsidP="006E0284">
            <w:pPr>
              <w:rPr>
                <w:kern w:val="2"/>
                <w:szCs w:val="22"/>
                <w:lang w:eastAsia="lt-LT"/>
                <w14:ligatures w14:val="standardContextual"/>
              </w:rPr>
            </w:pPr>
          </w:p>
        </w:tc>
      </w:tr>
      <w:tr w:rsidR="00A67DB0" w:rsidRPr="00A67DB0" w14:paraId="1EC22072" w14:textId="77777777" w:rsidTr="005007E6">
        <w:tc>
          <w:tcPr>
            <w:tcW w:w="704" w:type="dxa"/>
            <w:vMerge/>
          </w:tcPr>
          <w:p w14:paraId="020BA24D" w14:textId="77777777" w:rsidR="00017CE4" w:rsidRPr="00A67DB0" w:rsidRDefault="00017CE4" w:rsidP="006E0284">
            <w:pPr>
              <w:rPr>
                <w:kern w:val="2"/>
                <w:szCs w:val="22"/>
                <w:lang w:eastAsia="lt-LT"/>
                <w14:ligatures w14:val="standardContextual"/>
              </w:rPr>
            </w:pPr>
          </w:p>
        </w:tc>
        <w:tc>
          <w:tcPr>
            <w:tcW w:w="6521" w:type="dxa"/>
          </w:tcPr>
          <w:p w14:paraId="135E06D1" w14:textId="77777777" w:rsidR="00017CE4" w:rsidRPr="00A67DB0" w:rsidRDefault="00017CE4" w:rsidP="006E0284">
            <w:pPr>
              <w:jc w:val="both"/>
              <w:rPr>
                <w:kern w:val="2"/>
                <w:szCs w:val="22"/>
                <w:lang w:eastAsia="lt-LT"/>
                <w14:ligatures w14:val="standardContextual"/>
              </w:rPr>
            </w:pPr>
            <w:r w:rsidRPr="00A67DB0">
              <w:rPr>
                <w:kern w:val="3"/>
                <w:sz w:val="22"/>
                <w:szCs w:val="22"/>
                <w:lang w:eastAsia="lt-LT"/>
              </w:rPr>
              <w:t>vaikai su negalia (</w:t>
            </w:r>
            <w:r w:rsidRPr="00A67DB0">
              <w:rPr>
                <w:kern w:val="3"/>
                <w:sz w:val="20"/>
                <w:lang w:eastAsia="lt-LT"/>
              </w:rPr>
              <w:t>iki 21 metų</w:t>
            </w:r>
            <w:r w:rsidRPr="00A67DB0">
              <w:rPr>
                <w:kern w:val="3"/>
                <w:sz w:val="22"/>
                <w:szCs w:val="22"/>
                <w:lang w:eastAsia="lt-LT"/>
              </w:rPr>
              <w:t>)</w:t>
            </w:r>
          </w:p>
        </w:tc>
        <w:tc>
          <w:tcPr>
            <w:tcW w:w="2409" w:type="dxa"/>
          </w:tcPr>
          <w:p w14:paraId="1938452A" w14:textId="77777777" w:rsidR="00017CE4" w:rsidRPr="00A67DB0" w:rsidRDefault="00017CE4" w:rsidP="006E0284">
            <w:pPr>
              <w:rPr>
                <w:kern w:val="2"/>
                <w:szCs w:val="22"/>
                <w:lang w:eastAsia="lt-LT"/>
                <w14:ligatures w14:val="standardContextual"/>
              </w:rPr>
            </w:pPr>
          </w:p>
        </w:tc>
      </w:tr>
      <w:tr w:rsidR="00A67DB0" w:rsidRPr="00A67DB0" w14:paraId="0CB36679" w14:textId="77777777" w:rsidTr="005007E6">
        <w:tc>
          <w:tcPr>
            <w:tcW w:w="704" w:type="dxa"/>
            <w:vMerge/>
          </w:tcPr>
          <w:p w14:paraId="18637422" w14:textId="77777777" w:rsidR="00017CE4" w:rsidRPr="00A67DB0" w:rsidRDefault="00017CE4" w:rsidP="006E0284">
            <w:pPr>
              <w:rPr>
                <w:kern w:val="2"/>
                <w:szCs w:val="22"/>
                <w:lang w:eastAsia="lt-LT"/>
                <w14:ligatures w14:val="standardContextual"/>
              </w:rPr>
            </w:pPr>
          </w:p>
        </w:tc>
        <w:tc>
          <w:tcPr>
            <w:tcW w:w="6521" w:type="dxa"/>
          </w:tcPr>
          <w:p w14:paraId="3A6AF11A" w14:textId="228F5820" w:rsidR="00017CE4" w:rsidRPr="00A67DB0" w:rsidRDefault="00017CE4" w:rsidP="006E0284">
            <w:pPr>
              <w:jc w:val="both"/>
              <w:rPr>
                <w:kern w:val="2"/>
                <w:sz w:val="22"/>
                <w:szCs w:val="22"/>
                <w:lang w:eastAsia="lt-LT"/>
                <w14:ligatures w14:val="standardContextual"/>
              </w:rPr>
            </w:pPr>
            <w:r w:rsidRPr="00A67DB0">
              <w:rPr>
                <w:kern w:val="3"/>
                <w:sz w:val="22"/>
                <w:szCs w:val="22"/>
                <w:lang w:eastAsia="lt-LT"/>
              </w:rPr>
              <w:t>trečiųjų valstybių piliečių vaikai, kurie pasitraukė iš Ukrainos ir (arba) buvo priversti migruoti dėl Rusijos Federacijos karinės agresijos ir (arba) Baltarusijos Respublikos įgyvendinamų vidinių represijų ir hibridinės atakos veiksmų</w:t>
            </w:r>
          </w:p>
        </w:tc>
        <w:tc>
          <w:tcPr>
            <w:tcW w:w="2409" w:type="dxa"/>
          </w:tcPr>
          <w:p w14:paraId="33B0477D" w14:textId="77777777" w:rsidR="00017CE4" w:rsidRPr="00A67DB0" w:rsidRDefault="00017CE4" w:rsidP="006E0284">
            <w:pPr>
              <w:rPr>
                <w:kern w:val="2"/>
                <w:szCs w:val="22"/>
                <w:lang w:eastAsia="lt-LT"/>
                <w14:ligatures w14:val="standardContextual"/>
              </w:rPr>
            </w:pPr>
          </w:p>
        </w:tc>
      </w:tr>
      <w:tr w:rsidR="00A67DB0" w:rsidRPr="00A67DB0" w14:paraId="1C67B772" w14:textId="77777777" w:rsidTr="005007E6">
        <w:tc>
          <w:tcPr>
            <w:tcW w:w="704" w:type="dxa"/>
            <w:vMerge/>
          </w:tcPr>
          <w:p w14:paraId="69B3355E" w14:textId="77777777" w:rsidR="00017CE4" w:rsidRPr="00A67DB0" w:rsidRDefault="00017CE4" w:rsidP="006E0284">
            <w:pPr>
              <w:rPr>
                <w:kern w:val="2"/>
                <w:szCs w:val="22"/>
                <w:lang w:eastAsia="lt-LT"/>
                <w14:ligatures w14:val="standardContextual"/>
              </w:rPr>
            </w:pPr>
          </w:p>
        </w:tc>
        <w:tc>
          <w:tcPr>
            <w:tcW w:w="6521" w:type="dxa"/>
          </w:tcPr>
          <w:p w14:paraId="1B13581A" w14:textId="2CF8EDFE" w:rsidR="00017CE4" w:rsidRPr="00A67DB0" w:rsidRDefault="00017CE4" w:rsidP="006E0284">
            <w:pPr>
              <w:jc w:val="both"/>
              <w:rPr>
                <w:kern w:val="3"/>
                <w:sz w:val="22"/>
                <w:szCs w:val="22"/>
                <w:lang w:eastAsia="lt-LT"/>
              </w:rPr>
            </w:pPr>
            <w:r w:rsidRPr="00A67DB0">
              <w:rPr>
                <w:kern w:val="3"/>
                <w:sz w:val="22"/>
                <w:szCs w:val="22"/>
                <w:lang w:eastAsia="lt-LT"/>
              </w:rPr>
              <w:t xml:space="preserve">vaikai, rekomenduojami organizacijų, besirūpinančių asmenimis, laikinai atvykusiais į  Lietuvos Respubliką iš Ukrainos dėl Rusijos Federacijos karinių veiksmų Ukrainoje, siekiant užtikrinti tarptautinį bendradarbiavimą ir stiprinti </w:t>
            </w:r>
            <w:r w:rsidRPr="00A67DB0">
              <w:rPr>
                <w:sz w:val="22"/>
                <w:szCs w:val="22"/>
                <w:shd w:val="clear" w:color="auto" w:fill="FFFFFF"/>
              </w:rPr>
              <w:t>socialinius, emocinius įgūdžius</w:t>
            </w:r>
            <w:r w:rsidR="00963DED" w:rsidRPr="00A67DB0">
              <w:rPr>
                <w:sz w:val="22"/>
                <w:szCs w:val="22"/>
                <w:shd w:val="clear" w:color="auto" w:fill="FFFFFF"/>
              </w:rPr>
              <w:t>.</w:t>
            </w:r>
            <w:r w:rsidRPr="00A67DB0">
              <w:rPr>
                <w:sz w:val="22"/>
                <w:szCs w:val="22"/>
                <w:shd w:val="clear" w:color="auto" w:fill="FFFFFF"/>
              </w:rPr>
              <w:t>“</w:t>
            </w:r>
          </w:p>
        </w:tc>
        <w:tc>
          <w:tcPr>
            <w:tcW w:w="2409" w:type="dxa"/>
          </w:tcPr>
          <w:p w14:paraId="5027A813" w14:textId="77777777" w:rsidR="00017CE4" w:rsidRPr="00A67DB0" w:rsidRDefault="00017CE4" w:rsidP="006E0284">
            <w:pPr>
              <w:rPr>
                <w:kern w:val="2"/>
                <w:szCs w:val="22"/>
                <w:lang w:eastAsia="lt-LT"/>
                <w14:ligatures w14:val="standardContextual"/>
              </w:rPr>
            </w:pPr>
          </w:p>
        </w:tc>
      </w:tr>
    </w:tbl>
    <w:p w14:paraId="0CB6071E" w14:textId="13DA793E" w:rsidR="00345CD5" w:rsidRPr="00A67DB0" w:rsidRDefault="00963DED" w:rsidP="00BA3FC7">
      <w:pPr>
        <w:pStyle w:val="ListParagraph"/>
        <w:numPr>
          <w:ilvl w:val="1"/>
          <w:numId w:val="4"/>
        </w:numPr>
        <w:tabs>
          <w:tab w:val="left" w:pos="1276"/>
          <w:tab w:val="left" w:pos="1418"/>
        </w:tabs>
        <w:jc w:val="both"/>
        <w:rPr>
          <w:szCs w:val="24"/>
        </w:rPr>
      </w:pPr>
      <w:r w:rsidRPr="00A67DB0">
        <w:rPr>
          <w:szCs w:val="24"/>
        </w:rPr>
        <w:t xml:space="preserve"> </w:t>
      </w:r>
      <w:r w:rsidRPr="00A67DB0">
        <w:rPr>
          <w:szCs w:val="24"/>
          <w:lang w:eastAsia="lt-LT"/>
        </w:rPr>
        <w:t xml:space="preserve">Pakeičiu </w:t>
      </w:r>
      <w:r w:rsidR="00345CD5" w:rsidRPr="00A67DB0">
        <w:rPr>
          <w:szCs w:val="24"/>
          <w:lang w:eastAsia="lt-LT"/>
        </w:rPr>
        <w:t>2</w:t>
      </w:r>
      <w:r w:rsidRPr="00A67DB0">
        <w:rPr>
          <w:szCs w:val="24"/>
          <w:lang w:eastAsia="lt-LT"/>
        </w:rPr>
        <w:t>2</w:t>
      </w:r>
      <w:r w:rsidR="00345CD5" w:rsidRPr="00A67DB0">
        <w:rPr>
          <w:szCs w:val="24"/>
          <w:lang w:eastAsia="lt-LT"/>
        </w:rPr>
        <w:t>.1.1</w:t>
      </w:r>
      <w:r w:rsidRPr="00A67DB0">
        <w:rPr>
          <w:szCs w:val="24"/>
          <w:lang w:eastAsia="lt-LT"/>
        </w:rPr>
        <w:t xml:space="preserve"> p</w:t>
      </w:r>
      <w:r w:rsidR="00345CD5" w:rsidRPr="00A67DB0">
        <w:rPr>
          <w:szCs w:val="24"/>
          <w:lang w:eastAsia="lt-LT"/>
        </w:rPr>
        <w:t>ap</w:t>
      </w:r>
      <w:r w:rsidRPr="00A67DB0">
        <w:rPr>
          <w:szCs w:val="24"/>
          <w:lang w:eastAsia="lt-LT"/>
        </w:rPr>
        <w:t>unkt</w:t>
      </w:r>
      <w:r w:rsidR="00345CD5" w:rsidRPr="00A67DB0">
        <w:rPr>
          <w:szCs w:val="24"/>
          <w:lang w:eastAsia="lt-LT"/>
        </w:rPr>
        <w:t>į</w:t>
      </w:r>
      <w:r w:rsidRPr="00A67DB0">
        <w:rPr>
          <w:szCs w:val="24"/>
          <w:lang w:eastAsia="lt-LT"/>
        </w:rPr>
        <w:t xml:space="preserve"> ir jį išdėstau taip</w:t>
      </w:r>
      <w:r w:rsidR="000939A3" w:rsidRPr="00A67DB0">
        <w:rPr>
          <w:szCs w:val="24"/>
          <w:lang w:eastAsia="lt-LT"/>
        </w:rPr>
        <w:t>:</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1537"/>
        <w:gridCol w:w="1732"/>
        <w:gridCol w:w="1633"/>
        <w:gridCol w:w="1637"/>
      </w:tblGrid>
      <w:tr w:rsidR="00A67DB0" w:rsidRPr="00A67DB0" w14:paraId="25958EEB" w14:textId="77777777" w:rsidTr="00345CD5">
        <w:trPr>
          <w:trHeight w:val="1125"/>
        </w:trPr>
        <w:tc>
          <w:tcPr>
            <w:tcW w:w="3278" w:type="dxa"/>
          </w:tcPr>
          <w:p w14:paraId="03FA0257" w14:textId="16E089D7" w:rsidR="00345CD5" w:rsidRPr="00A67DB0" w:rsidRDefault="00C73EF0" w:rsidP="00843D43">
            <w:pPr>
              <w:tabs>
                <w:tab w:val="left" w:pos="733"/>
                <w:tab w:val="left" w:pos="1107"/>
              </w:tabs>
              <w:overflowPunct w:val="0"/>
              <w:textAlignment w:val="baseline"/>
              <w:rPr>
                <w:b/>
                <w:bCs/>
                <w:sz w:val="22"/>
                <w:szCs w:val="22"/>
                <w:lang w:eastAsia="lt-LT"/>
              </w:rPr>
            </w:pPr>
            <w:r>
              <w:rPr>
                <w:kern w:val="3"/>
                <w:szCs w:val="24"/>
                <w:bdr w:val="none" w:sz="0" w:space="0" w:color="auto" w:frame="1"/>
                <w:lang w:eastAsia="lt-LT"/>
              </w:rPr>
              <w:t>„</w:t>
            </w:r>
            <w:r w:rsidR="00345CD5" w:rsidRPr="00A67DB0">
              <w:rPr>
                <w:kern w:val="3"/>
                <w:szCs w:val="24"/>
                <w:bdr w:val="none" w:sz="0" w:space="0" w:color="auto" w:frame="1"/>
                <w:lang w:eastAsia="lt-LT"/>
              </w:rPr>
              <w:t>22.1.1.Vaikai, esantys jautresnėje socialinėje situacijoje</w:t>
            </w:r>
            <w:r w:rsidR="00345CD5" w:rsidRPr="00A67DB0">
              <w:rPr>
                <w:b/>
                <w:bCs/>
                <w:sz w:val="22"/>
                <w:szCs w:val="22"/>
                <w:lang w:eastAsia="lt-LT"/>
              </w:rPr>
              <w:t xml:space="preserve"> </w:t>
            </w:r>
          </w:p>
          <w:p w14:paraId="29387DD4" w14:textId="0288B520" w:rsidR="00345CD5" w:rsidRPr="00A67DB0" w:rsidRDefault="00345CD5" w:rsidP="00843D43">
            <w:pPr>
              <w:tabs>
                <w:tab w:val="left" w:pos="733"/>
                <w:tab w:val="left" w:pos="1107"/>
              </w:tabs>
              <w:overflowPunct w:val="0"/>
              <w:textAlignment w:val="baseline"/>
              <w:rPr>
                <w:b/>
                <w:bCs/>
                <w:sz w:val="22"/>
                <w:szCs w:val="22"/>
                <w:lang w:eastAsia="lt-LT"/>
              </w:rPr>
            </w:pPr>
            <w:r w:rsidRPr="00A67DB0">
              <w:rPr>
                <w:i/>
                <w:iCs/>
                <w:sz w:val="22"/>
                <w:szCs w:val="22"/>
                <w:lang w:eastAsia="lt-LT"/>
              </w:rPr>
              <w:t>(Aprašo 8.2-8.7 papunkčiai)</w:t>
            </w:r>
          </w:p>
        </w:tc>
        <w:tc>
          <w:tcPr>
            <w:tcW w:w="1537" w:type="dxa"/>
          </w:tcPr>
          <w:p w14:paraId="773FE6A9" w14:textId="77777777" w:rsidR="00345CD5" w:rsidRPr="00A67DB0" w:rsidRDefault="00345CD5" w:rsidP="006E0284">
            <w:pPr>
              <w:overflowPunct w:val="0"/>
              <w:jc w:val="both"/>
              <w:textAlignment w:val="baseline"/>
              <w:rPr>
                <w:sz w:val="22"/>
                <w:szCs w:val="22"/>
                <w:lang w:eastAsia="lt-LT"/>
              </w:rPr>
            </w:pPr>
            <w:r w:rsidRPr="00A67DB0">
              <w:rPr>
                <w:sz w:val="22"/>
                <w:szCs w:val="22"/>
                <w:lang w:eastAsia="lt-LT"/>
              </w:rPr>
              <w:t>1 vaikui</w:t>
            </w:r>
          </w:p>
        </w:tc>
        <w:tc>
          <w:tcPr>
            <w:tcW w:w="1732" w:type="dxa"/>
          </w:tcPr>
          <w:p w14:paraId="6980C785" w14:textId="77777777" w:rsidR="00345CD5" w:rsidRPr="00A67DB0" w:rsidRDefault="00345CD5" w:rsidP="006E0284">
            <w:pPr>
              <w:overflowPunct w:val="0"/>
              <w:jc w:val="both"/>
              <w:textAlignment w:val="baseline"/>
              <w:rPr>
                <w:sz w:val="22"/>
                <w:szCs w:val="22"/>
                <w:lang w:eastAsia="lt-LT"/>
              </w:rPr>
            </w:pPr>
            <w:r w:rsidRPr="00A67DB0">
              <w:rPr>
                <w:sz w:val="22"/>
                <w:szCs w:val="22"/>
                <w:lang w:eastAsia="lt-LT"/>
              </w:rPr>
              <w:t>Visai tikslinei grupei (vaikų skaičius x lėšos vienam vaikui)</w:t>
            </w:r>
          </w:p>
        </w:tc>
        <w:tc>
          <w:tcPr>
            <w:tcW w:w="1633" w:type="dxa"/>
          </w:tcPr>
          <w:p w14:paraId="0C732956" w14:textId="77777777" w:rsidR="00345CD5" w:rsidRPr="00A67DB0" w:rsidRDefault="00345CD5" w:rsidP="006E0284">
            <w:pPr>
              <w:overflowPunct w:val="0"/>
              <w:jc w:val="both"/>
              <w:textAlignment w:val="baseline"/>
              <w:rPr>
                <w:sz w:val="22"/>
                <w:szCs w:val="22"/>
                <w:lang w:eastAsia="lt-LT"/>
              </w:rPr>
            </w:pPr>
            <w:r w:rsidRPr="00A67DB0">
              <w:rPr>
                <w:sz w:val="22"/>
                <w:szCs w:val="22"/>
                <w:lang w:eastAsia="lt-LT"/>
              </w:rPr>
              <w:t>1 vaikui</w:t>
            </w:r>
          </w:p>
        </w:tc>
        <w:tc>
          <w:tcPr>
            <w:tcW w:w="1637" w:type="dxa"/>
          </w:tcPr>
          <w:p w14:paraId="390590EC" w14:textId="17B69679" w:rsidR="00345CD5" w:rsidRPr="00A67DB0" w:rsidRDefault="00345CD5" w:rsidP="006E0284">
            <w:pPr>
              <w:overflowPunct w:val="0"/>
              <w:jc w:val="both"/>
              <w:textAlignment w:val="baseline"/>
              <w:rPr>
                <w:sz w:val="22"/>
                <w:szCs w:val="22"/>
                <w:lang w:eastAsia="lt-LT"/>
              </w:rPr>
            </w:pPr>
            <w:r w:rsidRPr="00A67DB0">
              <w:rPr>
                <w:sz w:val="22"/>
                <w:szCs w:val="22"/>
                <w:lang w:eastAsia="lt-LT"/>
              </w:rPr>
              <w:t>Visai tikslinei grupei (vaikų skaičius x lėšos vienam vaikui)“</w:t>
            </w:r>
          </w:p>
        </w:tc>
      </w:tr>
    </w:tbl>
    <w:p w14:paraId="6313E3C7" w14:textId="5F990D4A" w:rsidR="00345CD5" w:rsidRPr="00A67DB0" w:rsidRDefault="00345CD5" w:rsidP="00BA3FC7">
      <w:pPr>
        <w:pStyle w:val="ListParagraph"/>
        <w:numPr>
          <w:ilvl w:val="1"/>
          <w:numId w:val="4"/>
        </w:numPr>
        <w:rPr>
          <w:szCs w:val="24"/>
        </w:rPr>
      </w:pPr>
      <w:r w:rsidRPr="00A67DB0">
        <w:rPr>
          <w:szCs w:val="24"/>
        </w:rPr>
        <w:t xml:space="preserve"> Pakeičiu 22.2.1 papunktį ir jį išdėstau taip</w:t>
      </w:r>
      <w:r w:rsidR="000939A3" w:rsidRPr="00A67DB0">
        <w:rPr>
          <w:szCs w:val="24"/>
        </w:rPr>
        <w:t>:</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549"/>
        <w:gridCol w:w="1743"/>
        <w:gridCol w:w="1688"/>
        <w:gridCol w:w="1582"/>
      </w:tblGrid>
      <w:tr w:rsidR="00A67DB0" w:rsidRPr="00A67DB0" w14:paraId="64925DDD" w14:textId="77777777" w:rsidTr="006E0284">
        <w:trPr>
          <w:trHeight w:val="78"/>
        </w:trPr>
        <w:tc>
          <w:tcPr>
            <w:tcW w:w="3255" w:type="dxa"/>
          </w:tcPr>
          <w:p w14:paraId="78CD1D09" w14:textId="23E0D194" w:rsidR="00345CD5" w:rsidRPr="00A67DB0" w:rsidRDefault="00C73EF0" w:rsidP="006E0284">
            <w:pPr>
              <w:overflowPunct w:val="0"/>
              <w:textAlignment w:val="baseline"/>
              <w:rPr>
                <w:b/>
                <w:bCs/>
                <w:sz w:val="22"/>
                <w:szCs w:val="22"/>
                <w:lang w:eastAsia="lt-LT"/>
              </w:rPr>
            </w:pPr>
            <w:r>
              <w:rPr>
                <w:kern w:val="3"/>
                <w:szCs w:val="24"/>
                <w:bdr w:val="none" w:sz="0" w:space="0" w:color="auto" w:frame="1"/>
                <w:lang w:eastAsia="lt-LT"/>
              </w:rPr>
              <w:lastRenderedPageBreak/>
              <w:t>„</w:t>
            </w:r>
            <w:r w:rsidR="00345CD5" w:rsidRPr="00A67DB0">
              <w:rPr>
                <w:kern w:val="3"/>
                <w:szCs w:val="24"/>
                <w:bdr w:val="none" w:sz="0" w:space="0" w:color="auto" w:frame="1"/>
                <w:lang w:eastAsia="lt-LT"/>
              </w:rPr>
              <w:t>22.2.1.Vaikai, esantys jautresnėje socialinėje situacijoje</w:t>
            </w:r>
            <w:r w:rsidR="00345CD5" w:rsidRPr="00A67DB0">
              <w:rPr>
                <w:b/>
                <w:bCs/>
                <w:sz w:val="22"/>
                <w:szCs w:val="22"/>
                <w:lang w:eastAsia="lt-LT"/>
              </w:rPr>
              <w:t xml:space="preserve"> </w:t>
            </w:r>
          </w:p>
          <w:p w14:paraId="6FDFE491" w14:textId="28020A11" w:rsidR="00345CD5" w:rsidRPr="00A67DB0" w:rsidRDefault="00345CD5" w:rsidP="006E0284">
            <w:pPr>
              <w:overflowPunct w:val="0"/>
              <w:jc w:val="both"/>
              <w:textAlignment w:val="baseline"/>
              <w:rPr>
                <w:b/>
                <w:bCs/>
                <w:sz w:val="22"/>
                <w:szCs w:val="22"/>
                <w:lang w:eastAsia="lt-LT"/>
              </w:rPr>
            </w:pPr>
            <w:r w:rsidRPr="00A67DB0">
              <w:rPr>
                <w:i/>
                <w:iCs/>
                <w:sz w:val="22"/>
                <w:szCs w:val="22"/>
                <w:lang w:eastAsia="lt-LT"/>
              </w:rPr>
              <w:t>(Aprašo 8.2-8.7 papunkčiai)</w:t>
            </w:r>
          </w:p>
        </w:tc>
        <w:tc>
          <w:tcPr>
            <w:tcW w:w="1549" w:type="dxa"/>
          </w:tcPr>
          <w:p w14:paraId="7B508A14" w14:textId="77777777" w:rsidR="00345CD5" w:rsidRPr="00A67DB0" w:rsidRDefault="00345CD5" w:rsidP="006E0284">
            <w:pPr>
              <w:overflowPunct w:val="0"/>
              <w:jc w:val="both"/>
              <w:textAlignment w:val="baseline"/>
              <w:rPr>
                <w:b/>
                <w:bCs/>
                <w:sz w:val="22"/>
                <w:szCs w:val="22"/>
                <w:lang w:eastAsia="lt-LT"/>
              </w:rPr>
            </w:pPr>
            <w:r w:rsidRPr="00A67DB0">
              <w:rPr>
                <w:sz w:val="22"/>
                <w:szCs w:val="22"/>
                <w:lang w:eastAsia="lt-LT"/>
              </w:rPr>
              <w:t>1 vaikui</w:t>
            </w:r>
          </w:p>
        </w:tc>
        <w:tc>
          <w:tcPr>
            <w:tcW w:w="1743" w:type="dxa"/>
          </w:tcPr>
          <w:p w14:paraId="5BCE27C3" w14:textId="77777777" w:rsidR="00345CD5" w:rsidRPr="00A67DB0" w:rsidRDefault="00345CD5" w:rsidP="006E0284">
            <w:pPr>
              <w:overflowPunct w:val="0"/>
              <w:jc w:val="both"/>
              <w:textAlignment w:val="baseline"/>
              <w:rPr>
                <w:b/>
                <w:bCs/>
                <w:sz w:val="22"/>
                <w:szCs w:val="22"/>
                <w:lang w:eastAsia="lt-LT"/>
              </w:rPr>
            </w:pPr>
            <w:r w:rsidRPr="00A67DB0">
              <w:rPr>
                <w:sz w:val="22"/>
                <w:szCs w:val="22"/>
                <w:lang w:eastAsia="lt-LT"/>
              </w:rPr>
              <w:t>Visai tikslinei grupei (vaikų skaičius x lėšos vienam vaikui)</w:t>
            </w:r>
          </w:p>
        </w:tc>
        <w:tc>
          <w:tcPr>
            <w:tcW w:w="1688" w:type="dxa"/>
          </w:tcPr>
          <w:p w14:paraId="0ED83F7B" w14:textId="77777777" w:rsidR="00345CD5" w:rsidRPr="00A67DB0" w:rsidRDefault="00345CD5" w:rsidP="006E0284">
            <w:pPr>
              <w:overflowPunct w:val="0"/>
              <w:jc w:val="both"/>
              <w:textAlignment w:val="baseline"/>
              <w:rPr>
                <w:b/>
                <w:bCs/>
                <w:sz w:val="22"/>
                <w:szCs w:val="22"/>
                <w:lang w:eastAsia="lt-LT"/>
              </w:rPr>
            </w:pPr>
            <w:r w:rsidRPr="00A67DB0">
              <w:rPr>
                <w:sz w:val="22"/>
                <w:szCs w:val="22"/>
                <w:lang w:eastAsia="lt-LT"/>
              </w:rPr>
              <w:t>1 vaikui</w:t>
            </w:r>
          </w:p>
        </w:tc>
        <w:tc>
          <w:tcPr>
            <w:tcW w:w="1582" w:type="dxa"/>
          </w:tcPr>
          <w:p w14:paraId="19080AC8" w14:textId="7EF9C449" w:rsidR="00345CD5" w:rsidRPr="00A67DB0" w:rsidRDefault="00345CD5" w:rsidP="006E0284">
            <w:pPr>
              <w:overflowPunct w:val="0"/>
              <w:jc w:val="both"/>
              <w:textAlignment w:val="baseline"/>
              <w:rPr>
                <w:b/>
                <w:bCs/>
                <w:sz w:val="21"/>
                <w:szCs w:val="21"/>
                <w:lang w:eastAsia="lt-LT"/>
              </w:rPr>
            </w:pPr>
            <w:r w:rsidRPr="00A67DB0">
              <w:rPr>
                <w:sz w:val="21"/>
                <w:szCs w:val="21"/>
                <w:lang w:eastAsia="lt-LT"/>
              </w:rPr>
              <w:t>Visai tikslinei grupei (vaikų skaičius x lėšos vienam vaikui)“</w:t>
            </w:r>
          </w:p>
        </w:tc>
      </w:tr>
    </w:tbl>
    <w:p w14:paraId="470014BB" w14:textId="0D163857" w:rsidR="00345CD5" w:rsidRPr="00A67DB0" w:rsidRDefault="00345CD5" w:rsidP="00345CD5">
      <w:pPr>
        <w:pStyle w:val="ListParagraph"/>
        <w:tabs>
          <w:tab w:val="left" w:pos="1276"/>
          <w:tab w:val="left" w:pos="1418"/>
        </w:tabs>
        <w:ind w:left="1211"/>
        <w:jc w:val="both"/>
        <w:rPr>
          <w:szCs w:val="24"/>
        </w:rPr>
      </w:pPr>
    </w:p>
    <w:p w14:paraId="640DC3EB" w14:textId="77777777" w:rsidR="00343285" w:rsidRPr="00A67DB0" w:rsidRDefault="00343285">
      <w:pPr>
        <w:tabs>
          <w:tab w:val="left" w:pos="5812"/>
        </w:tabs>
      </w:pPr>
    </w:p>
    <w:p w14:paraId="6FA509A8" w14:textId="77777777" w:rsidR="008B52D2" w:rsidRPr="00A67DB0" w:rsidRDefault="008B52D2">
      <w:pPr>
        <w:tabs>
          <w:tab w:val="left" w:pos="5812"/>
        </w:tabs>
      </w:pPr>
    </w:p>
    <w:p w14:paraId="2F6B65A0" w14:textId="743D50D0" w:rsidR="00343285" w:rsidRDefault="007F4909">
      <w:pPr>
        <w:tabs>
          <w:tab w:val="left" w:pos="7088"/>
        </w:tabs>
      </w:pPr>
      <w:r w:rsidRPr="00A67DB0">
        <w:rPr>
          <w:szCs w:val="24"/>
          <w:lang w:eastAsia="en-GB"/>
        </w:rPr>
        <w:t>Administracijos direktorius</w:t>
      </w:r>
      <w:r w:rsidRPr="00A67DB0">
        <w:rPr>
          <w:szCs w:val="24"/>
          <w:lang w:eastAsia="en-GB"/>
        </w:rPr>
        <w:tab/>
      </w:r>
      <w:r w:rsidRPr="00A67DB0">
        <w:t xml:space="preserve">Gintautas </w:t>
      </w:r>
      <w:proofErr w:type="spellStart"/>
      <w:r w:rsidRPr="00A67DB0">
        <w:t>Muzn</w:t>
      </w:r>
      <w:r>
        <w:t>ikas</w:t>
      </w:r>
      <w:proofErr w:type="spellEnd"/>
    </w:p>
    <w:sectPr w:rsidR="00343285" w:rsidSect="004D38D7">
      <w:pgSz w:w="11907" w:h="16840" w:code="9"/>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745"/>
    <w:multiLevelType w:val="hybridMultilevel"/>
    <w:tmpl w:val="680400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2EB80DA8"/>
    <w:multiLevelType w:val="multilevel"/>
    <w:tmpl w:val="81F4141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3E70746"/>
    <w:multiLevelType w:val="multilevel"/>
    <w:tmpl w:val="E4067EB8"/>
    <w:lvl w:ilvl="0">
      <w:start w:val="3"/>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C1C6BCC"/>
    <w:multiLevelType w:val="multilevel"/>
    <w:tmpl w:val="687CD4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950355862">
    <w:abstractNumId w:val="0"/>
  </w:num>
  <w:num w:numId="2" w16cid:durableId="1084451553">
    <w:abstractNumId w:val="1"/>
  </w:num>
  <w:num w:numId="3" w16cid:durableId="672144551">
    <w:abstractNumId w:val="2"/>
  </w:num>
  <w:num w:numId="4" w16cid:durableId="1224024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3D"/>
    <w:rsid w:val="00017CE4"/>
    <w:rsid w:val="00032DDF"/>
    <w:rsid w:val="00032E00"/>
    <w:rsid w:val="000378B3"/>
    <w:rsid w:val="00071EE5"/>
    <w:rsid w:val="000939A3"/>
    <w:rsid w:val="000E3C22"/>
    <w:rsid w:val="00137425"/>
    <w:rsid w:val="001A6A4F"/>
    <w:rsid w:val="00253E51"/>
    <w:rsid w:val="002B2EB9"/>
    <w:rsid w:val="00326EB4"/>
    <w:rsid w:val="00333A6E"/>
    <w:rsid w:val="00343285"/>
    <w:rsid w:val="00345CD5"/>
    <w:rsid w:val="003F4FE3"/>
    <w:rsid w:val="00424FC7"/>
    <w:rsid w:val="00441D79"/>
    <w:rsid w:val="00452ECD"/>
    <w:rsid w:val="004D38D7"/>
    <w:rsid w:val="004E4051"/>
    <w:rsid w:val="005007E6"/>
    <w:rsid w:val="005365AD"/>
    <w:rsid w:val="005B7331"/>
    <w:rsid w:val="005F26DF"/>
    <w:rsid w:val="005F72B0"/>
    <w:rsid w:val="00635612"/>
    <w:rsid w:val="00650EB9"/>
    <w:rsid w:val="00660183"/>
    <w:rsid w:val="006B181B"/>
    <w:rsid w:val="006B56FC"/>
    <w:rsid w:val="006C4F06"/>
    <w:rsid w:val="006F5650"/>
    <w:rsid w:val="0073283D"/>
    <w:rsid w:val="007B0096"/>
    <w:rsid w:val="007F3DE4"/>
    <w:rsid w:val="007F4909"/>
    <w:rsid w:val="007F7793"/>
    <w:rsid w:val="00843D43"/>
    <w:rsid w:val="008775BE"/>
    <w:rsid w:val="008A6E3F"/>
    <w:rsid w:val="008B52D2"/>
    <w:rsid w:val="008D07DB"/>
    <w:rsid w:val="00905436"/>
    <w:rsid w:val="009224BF"/>
    <w:rsid w:val="00963DED"/>
    <w:rsid w:val="009C0F67"/>
    <w:rsid w:val="00A0103D"/>
    <w:rsid w:val="00A405B1"/>
    <w:rsid w:val="00A67DB0"/>
    <w:rsid w:val="00A77788"/>
    <w:rsid w:val="00A966ED"/>
    <w:rsid w:val="00AD2A59"/>
    <w:rsid w:val="00B0005B"/>
    <w:rsid w:val="00B34D9C"/>
    <w:rsid w:val="00B44174"/>
    <w:rsid w:val="00B75162"/>
    <w:rsid w:val="00B933EE"/>
    <w:rsid w:val="00BA2830"/>
    <w:rsid w:val="00BA3FC7"/>
    <w:rsid w:val="00C264AA"/>
    <w:rsid w:val="00C63304"/>
    <w:rsid w:val="00C73EF0"/>
    <w:rsid w:val="00D336AE"/>
    <w:rsid w:val="00D63375"/>
    <w:rsid w:val="00DB0888"/>
    <w:rsid w:val="00DD7FB5"/>
    <w:rsid w:val="00E211A9"/>
    <w:rsid w:val="00E2472C"/>
    <w:rsid w:val="00E5405A"/>
    <w:rsid w:val="00F215FA"/>
    <w:rsid w:val="00FC1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8DDF"/>
  <w15:chartTrackingRefBased/>
  <w15:docId w15:val="{51F01EBC-CE1F-4F5E-8B47-E49E2B41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3283D"/>
    <w:rPr>
      <w:color w:val="808080"/>
    </w:rPr>
  </w:style>
  <w:style w:type="paragraph" w:styleId="ListParagraph">
    <w:name w:val="List Paragraph"/>
    <w:basedOn w:val="Normal"/>
    <w:rsid w:val="00B75162"/>
    <w:pPr>
      <w:ind w:left="720"/>
      <w:contextualSpacing/>
    </w:pPr>
  </w:style>
  <w:style w:type="paragraph" w:styleId="Header">
    <w:name w:val="header"/>
    <w:basedOn w:val="Normal"/>
    <w:link w:val="HeaderChar"/>
    <w:uiPriority w:val="99"/>
    <w:unhideWhenUsed/>
    <w:rsid w:val="00905436"/>
    <w:pPr>
      <w:tabs>
        <w:tab w:val="center" w:pos="4819"/>
        <w:tab w:val="right" w:pos="9638"/>
      </w:tabs>
    </w:pPr>
  </w:style>
  <w:style w:type="character" w:customStyle="1" w:styleId="HeaderChar">
    <w:name w:val="Header Char"/>
    <w:basedOn w:val="DefaultParagraphFont"/>
    <w:link w:val="Header"/>
    <w:uiPriority w:val="99"/>
    <w:rsid w:val="0090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70220">
      <w:bodyDiv w:val="1"/>
      <w:marLeft w:val="0"/>
      <w:marRight w:val="0"/>
      <w:marTop w:val="0"/>
      <w:marBottom w:val="0"/>
      <w:divBdr>
        <w:top w:val="none" w:sz="0" w:space="0" w:color="auto"/>
        <w:left w:val="none" w:sz="0" w:space="0" w:color="auto"/>
        <w:bottom w:val="none" w:sz="0" w:space="0" w:color="auto"/>
        <w:right w:val="none" w:sz="0" w:space="0" w:color="auto"/>
      </w:divBdr>
    </w:div>
    <w:div w:id="493110996">
      <w:bodyDiv w:val="1"/>
      <w:marLeft w:val="0"/>
      <w:marRight w:val="0"/>
      <w:marTop w:val="0"/>
      <w:marBottom w:val="0"/>
      <w:divBdr>
        <w:top w:val="none" w:sz="0" w:space="0" w:color="auto"/>
        <w:left w:val="none" w:sz="0" w:space="0" w:color="auto"/>
        <w:bottom w:val="none" w:sz="0" w:space="0" w:color="auto"/>
        <w:right w:val="none" w:sz="0" w:space="0" w:color="auto"/>
      </w:divBdr>
    </w:div>
    <w:div w:id="1123036431">
      <w:bodyDiv w:val="1"/>
      <w:marLeft w:val="0"/>
      <w:marRight w:val="0"/>
      <w:marTop w:val="0"/>
      <w:marBottom w:val="0"/>
      <w:divBdr>
        <w:top w:val="none" w:sz="0" w:space="0" w:color="auto"/>
        <w:left w:val="none" w:sz="0" w:space="0" w:color="auto"/>
        <w:bottom w:val="none" w:sz="0" w:space="0" w:color="auto"/>
        <w:right w:val="none" w:sz="0" w:space="0" w:color="auto"/>
      </w:divBdr>
    </w:div>
    <w:div w:id="11630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6603</Words>
  <Characters>3764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D</dc:creator>
  <cp:lastModifiedBy>Raminta Bartkevičienė</cp:lastModifiedBy>
  <cp:revision>2</cp:revision>
  <cp:lastPrinted>2025-03-31T13:17:00Z</cp:lastPrinted>
  <dcterms:created xsi:type="dcterms:W3CDTF">2025-04-03T07:57:00Z</dcterms:created>
  <dcterms:modified xsi:type="dcterms:W3CDTF">2025-04-03T07:57:00Z</dcterms:modified>
</cp:coreProperties>
</file>