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7CF" w:rsidRDefault="00923916">
      <w:pPr>
        <w:rPr>
          <w:b/>
          <w:sz w:val="24"/>
        </w:rPr>
      </w:pPr>
      <w:bookmarkStart w:id="0" w:name="_Hlk116566670"/>
      <w:bookmarkEnd w:id="0"/>
      <w:r>
        <w:t xml:space="preserve">                                      </w:t>
      </w:r>
      <w:bookmarkStart w:id="1" w:name="_Hlk116566657"/>
      <w:bookmarkEnd w:id="1"/>
      <w:r>
        <w:t xml:space="preserve">                                                                                                                          </w:t>
      </w:r>
      <w:r>
        <w:rPr>
          <w:b/>
          <w:sz w:val="24"/>
        </w:rPr>
        <w:t>Projektas</w:t>
      </w:r>
    </w:p>
    <w:p w:rsidR="004217CF" w:rsidRDefault="00923916">
      <w:pPr>
        <w:rPr>
          <w:sz w:val="28"/>
        </w:rPr>
      </w:pPr>
      <w:r>
        <w:rPr>
          <w:noProof/>
          <w:lang w:val="en-US" w:eastAsia="en-US"/>
        </w:rPr>
        <mc:AlternateContent>
          <mc:Choice Requires="wps">
            <w:drawing>
              <wp:anchor distT="0" distB="0" distL="114300" distR="114300" simplePos="0" relativeHeight="251657216" behindDoc="0" locked="0" layoutInCell="0" hidden="1" allowOverlap="1">
                <wp:simplePos x="0" y="0"/>
                <wp:positionH relativeFrom="column">
                  <wp:posOffset>0</wp:posOffset>
                </wp:positionH>
                <wp:positionV relativeFrom="paragraph">
                  <wp:posOffset>0</wp:posOffset>
                </wp:positionV>
                <wp:extent cx="635000" cy="635000"/>
                <wp:effectExtent l="9525" t="9525" r="9525" b="9525"/>
                <wp:wrapNone/>
                <wp:docPr id="2" name="Rectangle1" hidden="1"/>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val="SMDATA_12_ZqRPYxMAAAAlAAAAZAAAAEw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QAAAACkAAAAAAAAAAAAAAAAAAACAAAAAAAAAAAAAAACAAAAAAAAAOgDAADoAwAAAAAAAKUGAABLAwAAKAAAAAgAAAABAAAAAQAAAA=="/>
                          </a:ext>
                        </a:extLst>
                      </wps:cNvSpPr>
                      <wps:spPr>
                        <a:xfrm>
                          <a:off x="0" y="0"/>
                          <a:ext cx="635000" cy="635000"/>
                        </a:xfrm>
                        <a:prstGeom prst="rect">
                          <a:avLst/>
                        </a:prstGeom>
                        <a:solidFill>
                          <a:srgbClr val="FFFFFF"/>
                        </a:solidFill>
                        <a:ln w="9525">
                          <a:solidFill>
                            <a:srgbClr val="000000"/>
                          </a:solidFill>
                        </a:ln>
                      </wps:spPr>
                      <wps:bodyPr spcFirstLastPara="1" vertOverflow="clip" horzOverflow="clip" lIns="91440" tIns="45720" rIns="91440" bIns="45720" upright="1">
                        <a:noAutofit/>
                      </wps:bodyPr>
                    </wps:wsp>
                  </a:graphicData>
                </a:graphic>
              </wp:anchor>
            </w:drawing>
          </mc:Choice>
          <mc:Fallback>
            <w:pict>
              <v:rect w14:anchorId="3F285557" id="Rectangle1" o:spid="_x0000_s1026" style="position:absolute;margin-left:0;margin-top:0;width:50pt;height:50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" o:allowincell="f"/>
            </w:pict>
          </mc:Fallback>
        </mc:AlternateContent>
      </w:r>
      <w:r>
        <w:t xml:space="preserve">                                                                                        </w:t>
      </w:r>
      <w:r w:rsidR="00615FD6">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Rectangl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A9CF2" id="Rectangle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D4nXhshAgAARgQAAA4AAAAAAAAAAAAAAAAALgIAAGRycy9lMm9Eb2MueG1sUEsBAi0A&#10;FAAGAAgAAAAhAOuNHvvYAAAABQEAAA8AAAAAAAAAAAAAAAAAewQAAGRycy9kb3ducmV2LnhtbFBL&#10;BQYAAAAABAAEAPMAAACABQAAAAA=&#10;">
                <v:stroke joinstyle="round"/>
                <o:lock v:ext="edit" selection="t"/>
              </v:rect>
            </w:pict>
          </mc:Fallback>
        </mc:AlternateContent>
      </w:r>
      <w:r>
        <w:rPr>
          <w:noProof/>
        </w:rPr>
        <w:object w:dxaOrig="720" w:dyaOrig="840">
          <v:rect id="OLEObject1" o:spid="_x0000_i1025" style="width:36pt;height:42pt;visibility:visible;mso-wrap-style:square;mso-wrap-distance-left:7.05pt;mso-wrap-distance-top:7.05pt;mso-wrap-distance-right:7.05pt;mso-wrap-distance-bottom:7.05pt" o:ole="" o:preferrelative="t" filled="f" stroked="f">
            <v:imagedata r:id="rId5" o:title="image1"/>
          </v:rect>
          <o:OLEObject Type="Embed" ProgID="Image" ShapeID="OLEObject1" DrawAspect="Content" ObjectID="_1727760852" r:id="rId6"/>
        </w:object>
      </w:r>
    </w:p>
    <w:p w:rsidR="004217CF" w:rsidRDefault="00923916">
      <w:pPr>
        <w:pStyle w:val="Paantrat"/>
        <w:jc w:val="left"/>
      </w:pPr>
      <w:r>
        <w:t xml:space="preserve">                                      KĖDAINIŲ RAJONO SAVIVALDYBĖS TARYBA   </w:t>
      </w:r>
    </w:p>
    <w:p w:rsidR="004217CF" w:rsidRDefault="00923916">
      <w:pPr>
        <w:pStyle w:val="Pavadinimas"/>
        <w:rPr>
          <w:sz w:val="28"/>
        </w:rPr>
      </w:pPr>
      <w:r>
        <w:tab/>
      </w:r>
      <w:r>
        <w:tab/>
      </w:r>
      <w:r>
        <w:tab/>
      </w:r>
    </w:p>
    <w:p w:rsidR="004217CF" w:rsidRDefault="00923916">
      <w:pPr>
        <w:pStyle w:val="Antrat1"/>
        <w:keepNext w:val="0"/>
        <w:widowControl w:val="0"/>
        <w:tabs>
          <w:tab w:val="center" w:pos="4536"/>
        </w:tabs>
        <w:jc w:val="center"/>
        <w:rPr>
          <w:sz w:val="24"/>
          <w:szCs w:val="24"/>
        </w:rPr>
      </w:pPr>
      <w:r>
        <w:rPr>
          <w:sz w:val="24"/>
          <w:szCs w:val="24"/>
        </w:rPr>
        <w:t>SPRENDIMAS</w:t>
      </w:r>
    </w:p>
    <w:p w:rsidR="004217CF" w:rsidRDefault="00923916">
      <w:pPr>
        <w:jc w:val="center"/>
        <w:rPr>
          <w:b/>
          <w:sz w:val="24"/>
          <w:szCs w:val="24"/>
        </w:rPr>
      </w:pPr>
      <w:r>
        <w:rPr>
          <w:b/>
          <w:sz w:val="24"/>
          <w:szCs w:val="24"/>
        </w:rPr>
        <w:t>DĖL KĖDAINIŲ RAJONO SAVIVALDYBĖS INFRASTRUKTŪROS PLĖTROS ĮMOKOS TARIFŲ PATVIRTINIMO</w:t>
      </w:r>
    </w:p>
    <w:p w:rsidR="004217CF" w:rsidRDefault="004217CF">
      <w:pPr>
        <w:jc w:val="center"/>
        <w:rPr>
          <w:b/>
          <w:sz w:val="24"/>
          <w:szCs w:val="24"/>
        </w:rPr>
      </w:pPr>
    </w:p>
    <w:p w:rsidR="004217CF" w:rsidRDefault="00923916">
      <w:pPr>
        <w:jc w:val="center"/>
        <w:rPr>
          <w:sz w:val="24"/>
          <w:szCs w:val="24"/>
        </w:rPr>
      </w:pPr>
      <w:r>
        <w:rPr>
          <w:sz w:val="24"/>
          <w:szCs w:val="24"/>
        </w:rPr>
        <w:t xml:space="preserve">2022 m. </w:t>
      </w:r>
      <w:r w:rsidR="008B39AF">
        <w:rPr>
          <w:sz w:val="24"/>
          <w:szCs w:val="24"/>
        </w:rPr>
        <w:t>spalio 19</w:t>
      </w:r>
      <w:r>
        <w:rPr>
          <w:sz w:val="24"/>
          <w:szCs w:val="24"/>
        </w:rPr>
        <w:t xml:space="preserve"> d. Nr.</w:t>
      </w:r>
      <w:r w:rsidR="008B39AF">
        <w:rPr>
          <w:sz w:val="24"/>
          <w:szCs w:val="24"/>
        </w:rPr>
        <w:t xml:space="preserve"> SP-</w:t>
      </w:r>
      <w:r w:rsidR="00C341E0">
        <w:rPr>
          <w:sz w:val="24"/>
          <w:szCs w:val="24"/>
        </w:rPr>
        <w:t>278</w:t>
      </w:r>
      <w:bookmarkStart w:id="2" w:name="_GoBack"/>
      <w:bookmarkEnd w:id="2"/>
      <w:r>
        <w:rPr>
          <w:sz w:val="24"/>
          <w:szCs w:val="24"/>
        </w:rPr>
        <w:t xml:space="preserve"> </w:t>
      </w:r>
    </w:p>
    <w:p w:rsidR="004217CF" w:rsidRDefault="00923916">
      <w:pPr>
        <w:jc w:val="center"/>
        <w:rPr>
          <w:sz w:val="24"/>
          <w:szCs w:val="24"/>
        </w:rPr>
      </w:pPr>
      <w:r>
        <w:rPr>
          <w:sz w:val="24"/>
          <w:szCs w:val="24"/>
        </w:rPr>
        <w:t>Kėdainiai</w:t>
      </w:r>
    </w:p>
    <w:p w:rsidR="004217CF" w:rsidRDefault="004217CF">
      <w:pPr>
        <w:rPr>
          <w:sz w:val="24"/>
          <w:szCs w:val="24"/>
        </w:rPr>
      </w:pPr>
    </w:p>
    <w:p w:rsidR="004217CF" w:rsidRDefault="00923916" w:rsidP="008B39AF">
      <w:pPr>
        <w:ind w:firstLine="567"/>
        <w:jc w:val="both"/>
        <w:rPr>
          <w:sz w:val="24"/>
          <w:szCs w:val="24"/>
        </w:rPr>
      </w:pPr>
      <w:r>
        <w:rPr>
          <w:sz w:val="24"/>
          <w:szCs w:val="24"/>
        </w:rPr>
        <w:t xml:space="preserve">Vadovaudamasi Lietuvos Respublikos vietos savivaldos įstatymo 16 straipsnio 4 dalimi, Lietuvos Respublikos savivaldybių infrastruktūros plėtros įstatymo 2 straipsnio </w:t>
      </w:r>
      <w:r>
        <w:rPr>
          <w:sz w:val="24"/>
          <w:szCs w:val="24"/>
        </w:rPr>
        <w:br/>
        <w:t>7 dalimi, 4 straipsnio 2 dalies 4 punktu, 14 straipsnio 4 dalimi, Savivaldybės infrastruktūros plėtros įmokos nustatymo metodika, patvirtinta Lietuvos Respublikos Vyriausybės 2020 m. gruodžio 30 d. nutarimu Nr. 1475 „Dėl Kompensacijos savivaldybių infrastruktūros plėtros iniciatoriams už jų patirtas išlaidas apskaičiavimo ir išmokėjimo tvarkos aprašo ir Savivaldybės infrastruktūros plėtros įmokos nustatymo metodikos patvirtinimo“, Kėdainių rajono savivaldybės taryba</w:t>
      </w:r>
      <w:r>
        <w:rPr>
          <w:sz w:val="24"/>
          <w:szCs w:val="24"/>
        </w:rPr>
        <w:br/>
        <w:t xml:space="preserve">n u s p r e n d ž i a: </w:t>
      </w:r>
    </w:p>
    <w:p w:rsidR="004217CF" w:rsidRDefault="00923916" w:rsidP="008B39AF">
      <w:pPr>
        <w:numPr>
          <w:ilvl w:val="0"/>
          <w:numId w:val="1"/>
        </w:numPr>
        <w:tabs>
          <w:tab w:val="left" w:pos="851"/>
        </w:tabs>
        <w:ind w:firstLine="567"/>
        <w:jc w:val="both"/>
        <w:rPr>
          <w:sz w:val="24"/>
          <w:szCs w:val="24"/>
        </w:rPr>
      </w:pPr>
      <w:r>
        <w:rPr>
          <w:sz w:val="24"/>
          <w:szCs w:val="24"/>
        </w:rPr>
        <w:t>Patvirtinti Kėdainių rajono savivaldybės infrastruktūros plėtros įmokos tarifo (T) dydį (</w:t>
      </w:r>
      <w:proofErr w:type="spellStart"/>
      <w:r>
        <w:rPr>
          <w:sz w:val="24"/>
          <w:szCs w:val="24"/>
        </w:rPr>
        <w:t>Eur</w:t>
      </w:r>
      <w:proofErr w:type="spellEnd"/>
      <w:r>
        <w:rPr>
          <w:sz w:val="24"/>
          <w:szCs w:val="24"/>
        </w:rPr>
        <w:t>/m2), skirtą apskaičiuoti Savivaldybės infrastruktūros plėtros įmoką, kuris apskaičiuojamas pagal formulę: T = T1 + T2,</w:t>
      </w:r>
    </w:p>
    <w:p w:rsidR="004217CF" w:rsidRDefault="00923916" w:rsidP="008B39AF">
      <w:pPr>
        <w:ind w:firstLine="567"/>
        <w:jc w:val="both"/>
        <w:rPr>
          <w:sz w:val="24"/>
          <w:szCs w:val="24"/>
        </w:rPr>
      </w:pPr>
      <w:r>
        <w:rPr>
          <w:sz w:val="24"/>
          <w:szCs w:val="24"/>
        </w:rPr>
        <w:t>kur:</w:t>
      </w:r>
    </w:p>
    <w:p w:rsidR="004217CF" w:rsidRDefault="00923916" w:rsidP="008B39AF">
      <w:pPr>
        <w:ind w:firstLine="567"/>
        <w:jc w:val="both"/>
        <w:rPr>
          <w:sz w:val="24"/>
          <w:szCs w:val="24"/>
        </w:rPr>
      </w:pPr>
      <w:r>
        <w:rPr>
          <w:sz w:val="24"/>
          <w:szCs w:val="24"/>
        </w:rPr>
        <w:t>T1 – įmokos tarifas inžinerinės savivaldybės infrastruktūros plėtrai (</w:t>
      </w:r>
      <w:proofErr w:type="spellStart"/>
      <w:r>
        <w:rPr>
          <w:sz w:val="24"/>
          <w:szCs w:val="24"/>
        </w:rPr>
        <w:t>Eur</w:t>
      </w:r>
      <w:proofErr w:type="spellEnd"/>
      <w:r>
        <w:rPr>
          <w:sz w:val="24"/>
          <w:szCs w:val="24"/>
        </w:rPr>
        <w:t>/m2);</w:t>
      </w:r>
    </w:p>
    <w:p w:rsidR="004217CF" w:rsidRDefault="00923916" w:rsidP="008B39AF">
      <w:pPr>
        <w:ind w:firstLine="567"/>
        <w:jc w:val="both"/>
        <w:rPr>
          <w:sz w:val="24"/>
          <w:szCs w:val="24"/>
        </w:rPr>
      </w:pPr>
      <w:r>
        <w:rPr>
          <w:sz w:val="24"/>
          <w:szCs w:val="24"/>
        </w:rPr>
        <w:t>T2 – įmokos tarifas socialinės savivaldybės infrastruktūros plėtrai (</w:t>
      </w:r>
      <w:proofErr w:type="spellStart"/>
      <w:r>
        <w:rPr>
          <w:sz w:val="24"/>
          <w:szCs w:val="24"/>
        </w:rPr>
        <w:t>Eur</w:t>
      </w:r>
      <w:proofErr w:type="spellEnd"/>
      <w:r>
        <w:rPr>
          <w:sz w:val="24"/>
          <w:szCs w:val="24"/>
        </w:rPr>
        <w:t xml:space="preserve">/m2). </w:t>
      </w:r>
    </w:p>
    <w:p w:rsidR="004217CF" w:rsidRDefault="00923916" w:rsidP="008B39AF">
      <w:pPr>
        <w:pStyle w:val="Sraopastraipa"/>
        <w:numPr>
          <w:ilvl w:val="0"/>
          <w:numId w:val="1"/>
        </w:numPr>
        <w:tabs>
          <w:tab w:val="left" w:pos="851"/>
        </w:tabs>
        <w:ind w:firstLine="567"/>
        <w:jc w:val="both"/>
        <w:rPr>
          <w:sz w:val="24"/>
          <w:szCs w:val="24"/>
        </w:rPr>
      </w:pPr>
      <w:r>
        <w:rPr>
          <w:sz w:val="24"/>
          <w:szCs w:val="24"/>
        </w:rPr>
        <w:t>Nustatyti, kad įmokos tarifas socialinės savivaldybės infrastruktūros plėtrai Kėdainių rajono savivaldybės teritorijoje lygus 0.</w:t>
      </w:r>
    </w:p>
    <w:p w:rsidR="004217CF" w:rsidRDefault="00923916" w:rsidP="008B39AF">
      <w:pPr>
        <w:numPr>
          <w:ilvl w:val="0"/>
          <w:numId w:val="1"/>
        </w:numPr>
        <w:tabs>
          <w:tab w:val="left" w:pos="851"/>
        </w:tabs>
        <w:ind w:firstLine="567"/>
        <w:jc w:val="both"/>
        <w:rPr>
          <w:sz w:val="24"/>
          <w:szCs w:val="24"/>
        </w:rPr>
      </w:pPr>
      <w:r>
        <w:rPr>
          <w:sz w:val="24"/>
          <w:szCs w:val="24"/>
        </w:rPr>
        <w:t>Nustatyti, kad Įmokos tarifas inžinerinės savivaldybės infrastruktūros plėtrai (</w:t>
      </w:r>
      <w:proofErr w:type="spellStart"/>
      <w:r>
        <w:rPr>
          <w:sz w:val="24"/>
          <w:szCs w:val="24"/>
        </w:rPr>
        <w:t>Eur</w:t>
      </w:r>
      <w:proofErr w:type="spellEnd"/>
      <w:r>
        <w:rPr>
          <w:sz w:val="24"/>
          <w:szCs w:val="24"/>
        </w:rPr>
        <w:t xml:space="preserve">/m2) yra apskaičiuojamas pagal formulę: </w:t>
      </w:r>
      <w:r>
        <w:rPr>
          <w:bCs/>
          <w:sz w:val="24"/>
          <w:szCs w:val="24"/>
          <w:lang w:bidi="hi-IN"/>
        </w:rPr>
        <w:t>T1= Į x D</w:t>
      </w:r>
      <w:r>
        <w:rPr>
          <w:sz w:val="24"/>
          <w:szCs w:val="24"/>
        </w:rPr>
        <w:t>,</w:t>
      </w:r>
    </w:p>
    <w:p w:rsidR="004217CF" w:rsidRDefault="00923916" w:rsidP="008B39AF">
      <w:pPr>
        <w:widowControl w:val="0"/>
        <w:suppressAutoHyphens/>
        <w:spacing w:line="276" w:lineRule="auto"/>
        <w:ind w:firstLine="567"/>
        <w:jc w:val="both"/>
        <w:rPr>
          <w:sz w:val="24"/>
          <w:szCs w:val="24"/>
          <w:lang w:bidi="hi-IN"/>
        </w:rPr>
      </w:pPr>
      <w:r>
        <w:rPr>
          <w:sz w:val="24"/>
          <w:szCs w:val="24"/>
          <w:lang w:bidi="hi-IN"/>
        </w:rPr>
        <w:t>kur:</w:t>
      </w:r>
    </w:p>
    <w:p w:rsidR="004217CF" w:rsidRDefault="00923916" w:rsidP="008B39AF">
      <w:pPr>
        <w:widowControl w:val="0"/>
        <w:suppressAutoHyphens/>
        <w:spacing w:line="276" w:lineRule="auto"/>
        <w:ind w:firstLine="567"/>
        <w:jc w:val="both"/>
        <w:rPr>
          <w:sz w:val="24"/>
          <w:szCs w:val="24"/>
          <w:lang w:bidi="hi-IN"/>
        </w:rPr>
      </w:pPr>
      <w:r>
        <w:rPr>
          <w:sz w:val="24"/>
          <w:szCs w:val="24"/>
          <w:lang w:bidi="hi-IN"/>
        </w:rPr>
        <w:t>Į − įkainis, pasirenkamas iš įkainių nustatymo schemos, pagal Funkcinės zonos numerį (</w:t>
      </w:r>
      <w:proofErr w:type="spellStart"/>
      <w:r>
        <w:rPr>
          <w:sz w:val="24"/>
          <w:szCs w:val="24"/>
          <w:lang w:bidi="hi-IN"/>
        </w:rPr>
        <w:t>Eur</w:t>
      </w:r>
      <w:proofErr w:type="spellEnd"/>
      <w:r>
        <w:rPr>
          <w:sz w:val="24"/>
          <w:szCs w:val="24"/>
          <w:lang w:bidi="hi-IN"/>
        </w:rPr>
        <w:t>);</w:t>
      </w:r>
    </w:p>
    <w:p w:rsidR="004217CF" w:rsidRDefault="00923916" w:rsidP="008B39AF">
      <w:pPr>
        <w:widowControl w:val="0"/>
        <w:suppressAutoHyphens/>
        <w:spacing w:line="276" w:lineRule="auto"/>
        <w:ind w:firstLine="567"/>
        <w:jc w:val="both"/>
        <w:rPr>
          <w:sz w:val="24"/>
          <w:szCs w:val="24"/>
          <w:lang w:bidi="hi-IN"/>
        </w:rPr>
      </w:pPr>
      <w:r>
        <w:rPr>
          <w:sz w:val="24"/>
          <w:szCs w:val="24"/>
          <w:lang w:bidi="hi-IN"/>
        </w:rPr>
        <w:t>D − diferencijavimo koeficientas pagal statinio tipą.</w:t>
      </w:r>
    </w:p>
    <w:p w:rsidR="004217CF" w:rsidRDefault="00923916" w:rsidP="008B39AF">
      <w:pPr>
        <w:widowControl w:val="0"/>
        <w:suppressAutoHyphens/>
        <w:spacing w:line="276" w:lineRule="auto"/>
        <w:ind w:firstLine="567"/>
        <w:jc w:val="both"/>
        <w:rPr>
          <w:sz w:val="24"/>
          <w:szCs w:val="24"/>
          <w:lang w:bidi="hi-IN"/>
        </w:rPr>
      </w:pPr>
      <w:r>
        <w:rPr>
          <w:sz w:val="24"/>
          <w:szCs w:val="24"/>
          <w:lang w:bidi="hi-IN"/>
        </w:rPr>
        <w:t>Kėdainių rajono savivaldybės teritorijos funkcinės zonos pagal infrastruktūros išsivystymo lygį ir įkainius (Į) pagal įkainių nustatymo schemą (1 priedas):</w:t>
      </w:r>
    </w:p>
    <w:p w:rsidR="004217CF" w:rsidRDefault="00923916" w:rsidP="008B39AF">
      <w:pPr>
        <w:widowControl w:val="0"/>
        <w:suppressAutoHyphens/>
        <w:spacing w:line="276" w:lineRule="auto"/>
        <w:ind w:firstLine="567"/>
        <w:jc w:val="both"/>
        <w:rPr>
          <w:sz w:val="24"/>
          <w:szCs w:val="24"/>
          <w:lang w:bidi="hi-IN"/>
        </w:rPr>
      </w:pPr>
      <w:r>
        <w:rPr>
          <w:sz w:val="24"/>
          <w:szCs w:val="24"/>
          <w:lang w:bidi="hi-IN"/>
        </w:rPr>
        <w:t xml:space="preserve">Prioritetinė teritorija Kėdainių mieste − 10 </w:t>
      </w:r>
      <w:proofErr w:type="spellStart"/>
      <w:r>
        <w:rPr>
          <w:sz w:val="24"/>
          <w:szCs w:val="24"/>
          <w:lang w:bidi="hi-IN"/>
        </w:rPr>
        <w:t>Eur</w:t>
      </w:r>
      <w:proofErr w:type="spellEnd"/>
      <w:r>
        <w:rPr>
          <w:sz w:val="24"/>
          <w:szCs w:val="24"/>
          <w:lang w:bidi="hi-IN"/>
        </w:rPr>
        <w:t>;</w:t>
      </w:r>
    </w:p>
    <w:p w:rsidR="004217CF" w:rsidRDefault="00923916" w:rsidP="008B39AF">
      <w:pPr>
        <w:widowControl w:val="0"/>
        <w:suppressAutoHyphens/>
        <w:spacing w:line="276" w:lineRule="auto"/>
        <w:ind w:firstLine="567"/>
        <w:jc w:val="both"/>
        <w:rPr>
          <w:sz w:val="24"/>
          <w:szCs w:val="24"/>
          <w:lang w:bidi="hi-IN"/>
        </w:rPr>
      </w:pPr>
      <w:r>
        <w:rPr>
          <w:sz w:val="24"/>
          <w:szCs w:val="24"/>
          <w:lang w:bidi="hi-IN"/>
        </w:rPr>
        <w:t xml:space="preserve">Prioritetinė teritorija Kėdainių rajone  – 5 </w:t>
      </w:r>
      <w:proofErr w:type="spellStart"/>
      <w:r>
        <w:rPr>
          <w:sz w:val="24"/>
          <w:szCs w:val="24"/>
          <w:lang w:bidi="hi-IN"/>
        </w:rPr>
        <w:t>Eur</w:t>
      </w:r>
      <w:proofErr w:type="spellEnd"/>
      <w:r>
        <w:rPr>
          <w:sz w:val="24"/>
          <w:szCs w:val="24"/>
          <w:lang w:bidi="hi-IN"/>
        </w:rPr>
        <w:t>;</w:t>
      </w:r>
    </w:p>
    <w:p w:rsidR="004217CF" w:rsidRDefault="00923916" w:rsidP="008B39AF">
      <w:pPr>
        <w:widowControl w:val="0"/>
        <w:suppressAutoHyphens/>
        <w:spacing w:line="276" w:lineRule="auto"/>
        <w:ind w:firstLine="567"/>
        <w:jc w:val="both"/>
        <w:rPr>
          <w:sz w:val="24"/>
          <w:szCs w:val="24"/>
          <w:lang w:bidi="hi-IN"/>
        </w:rPr>
      </w:pPr>
      <w:r>
        <w:rPr>
          <w:sz w:val="24"/>
          <w:szCs w:val="24"/>
          <w:lang w:bidi="hi-IN"/>
        </w:rPr>
        <w:t xml:space="preserve">1 tarifo teritorija − 3 </w:t>
      </w:r>
      <w:proofErr w:type="spellStart"/>
      <w:r>
        <w:rPr>
          <w:sz w:val="24"/>
          <w:szCs w:val="24"/>
          <w:lang w:bidi="hi-IN"/>
        </w:rPr>
        <w:t>Eur</w:t>
      </w:r>
      <w:proofErr w:type="spellEnd"/>
      <w:r>
        <w:rPr>
          <w:sz w:val="24"/>
          <w:szCs w:val="24"/>
          <w:lang w:bidi="hi-IN"/>
        </w:rPr>
        <w:t xml:space="preserve">; </w:t>
      </w:r>
    </w:p>
    <w:p w:rsidR="004217CF" w:rsidRDefault="00923916" w:rsidP="008B39AF">
      <w:pPr>
        <w:widowControl w:val="0"/>
        <w:suppressAutoHyphens/>
        <w:spacing w:line="276" w:lineRule="auto"/>
        <w:ind w:firstLine="567"/>
        <w:jc w:val="both"/>
        <w:rPr>
          <w:sz w:val="24"/>
          <w:szCs w:val="24"/>
          <w:lang w:bidi="hi-IN"/>
        </w:rPr>
      </w:pPr>
      <w:r>
        <w:rPr>
          <w:sz w:val="24"/>
          <w:szCs w:val="24"/>
          <w:lang w:bidi="hi-IN"/>
        </w:rPr>
        <w:t xml:space="preserve">2 tarifo teritorija − 5 </w:t>
      </w:r>
      <w:proofErr w:type="spellStart"/>
      <w:r>
        <w:rPr>
          <w:sz w:val="24"/>
          <w:szCs w:val="24"/>
          <w:lang w:bidi="hi-IN"/>
        </w:rPr>
        <w:t>Eur</w:t>
      </w:r>
      <w:proofErr w:type="spellEnd"/>
      <w:r>
        <w:rPr>
          <w:sz w:val="24"/>
          <w:szCs w:val="24"/>
          <w:lang w:bidi="hi-IN"/>
        </w:rPr>
        <w:t>;</w:t>
      </w:r>
    </w:p>
    <w:p w:rsidR="004217CF" w:rsidRDefault="00923916" w:rsidP="008B39AF">
      <w:pPr>
        <w:widowControl w:val="0"/>
        <w:suppressAutoHyphens/>
        <w:spacing w:line="276" w:lineRule="auto"/>
        <w:ind w:firstLine="567"/>
        <w:jc w:val="both"/>
        <w:rPr>
          <w:sz w:val="24"/>
          <w:szCs w:val="24"/>
          <w:lang w:bidi="hi-IN"/>
        </w:rPr>
      </w:pPr>
      <w:r>
        <w:rPr>
          <w:sz w:val="24"/>
          <w:szCs w:val="24"/>
          <w:lang w:bidi="hi-IN"/>
        </w:rPr>
        <w:t xml:space="preserve">3 tarifo teritorija − 10 </w:t>
      </w:r>
      <w:proofErr w:type="spellStart"/>
      <w:r>
        <w:rPr>
          <w:sz w:val="24"/>
          <w:szCs w:val="24"/>
          <w:lang w:bidi="hi-IN"/>
        </w:rPr>
        <w:t>Eur</w:t>
      </w:r>
      <w:proofErr w:type="spellEnd"/>
      <w:r>
        <w:rPr>
          <w:sz w:val="24"/>
          <w:szCs w:val="24"/>
          <w:lang w:bidi="hi-IN"/>
        </w:rPr>
        <w:t>;</w:t>
      </w:r>
    </w:p>
    <w:p w:rsidR="004217CF" w:rsidRDefault="00923916" w:rsidP="008B39AF">
      <w:pPr>
        <w:widowControl w:val="0"/>
        <w:suppressAutoHyphens/>
        <w:spacing w:line="276" w:lineRule="auto"/>
        <w:ind w:firstLine="567"/>
        <w:jc w:val="both"/>
        <w:rPr>
          <w:sz w:val="24"/>
          <w:szCs w:val="24"/>
          <w:lang w:bidi="hi-IN"/>
        </w:rPr>
      </w:pPr>
      <w:r>
        <w:rPr>
          <w:sz w:val="24"/>
          <w:szCs w:val="24"/>
          <w:lang w:bidi="hi-IN"/>
        </w:rPr>
        <w:t xml:space="preserve">4 tarifo teritorija (Likusios teritorijos) − 20 </w:t>
      </w:r>
      <w:proofErr w:type="spellStart"/>
      <w:r>
        <w:rPr>
          <w:sz w:val="24"/>
          <w:szCs w:val="24"/>
          <w:lang w:bidi="hi-IN"/>
        </w:rPr>
        <w:t>Eur</w:t>
      </w:r>
      <w:proofErr w:type="spellEnd"/>
      <w:r>
        <w:rPr>
          <w:sz w:val="24"/>
          <w:szCs w:val="24"/>
          <w:lang w:bidi="hi-IN"/>
        </w:rPr>
        <w:t>.</w:t>
      </w:r>
    </w:p>
    <w:p w:rsidR="004217CF" w:rsidRDefault="00923916" w:rsidP="008B39AF">
      <w:pPr>
        <w:widowControl w:val="0"/>
        <w:suppressAutoHyphens/>
        <w:spacing w:line="276" w:lineRule="auto"/>
        <w:ind w:firstLine="567"/>
        <w:jc w:val="both"/>
        <w:rPr>
          <w:sz w:val="24"/>
          <w:szCs w:val="24"/>
          <w:lang w:bidi="hi-IN"/>
        </w:rPr>
      </w:pPr>
      <w:r>
        <w:rPr>
          <w:sz w:val="24"/>
          <w:szCs w:val="24"/>
          <w:lang w:bidi="hi-IN"/>
        </w:rPr>
        <w:t>Diferencijavimo koeficientai pagal statinio tipus (D), kurių kiekvienas apimtų žemiau išvardintas pastatų paskirtis pagal vyraujančią pastato paskirtį:</w:t>
      </w:r>
    </w:p>
    <w:p w:rsidR="004217CF" w:rsidRDefault="00923916" w:rsidP="008B39AF">
      <w:pPr>
        <w:pStyle w:val="Sraopastraipa"/>
        <w:widowControl w:val="0"/>
        <w:numPr>
          <w:ilvl w:val="0"/>
          <w:numId w:val="3"/>
        </w:numPr>
        <w:suppressAutoHyphens/>
        <w:spacing w:line="276" w:lineRule="auto"/>
        <w:ind w:left="1134" w:hanging="567"/>
        <w:jc w:val="both"/>
        <w:rPr>
          <w:sz w:val="24"/>
          <w:szCs w:val="24"/>
          <w:lang w:bidi="hi-IN"/>
        </w:rPr>
      </w:pPr>
      <w:r>
        <w:rPr>
          <w:sz w:val="24"/>
          <w:szCs w:val="24"/>
          <w:lang w:bidi="hi-IN"/>
        </w:rPr>
        <w:t>Gyvenamieji pastatai:</w:t>
      </w:r>
    </w:p>
    <w:p w:rsidR="004217CF" w:rsidRDefault="00923916" w:rsidP="008B39AF">
      <w:pPr>
        <w:widowControl w:val="0"/>
        <w:suppressAutoHyphens/>
        <w:spacing w:line="276" w:lineRule="auto"/>
        <w:ind w:left="964"/>
        <w:jc w:val="both"/>
        <w:rPr>
          <w:sz w:val="24"/>
          <w:szCs w:val="24"/>
          <w:lang w:bidi="hi-IN"/>
        </w:rPr>
      </w:pPr>
      <w:r>
        <w:rPr>
          <w:sz w:val="24"/>
          <w:szCs w:val="24"/>
          <w:lang w:bidi="hi-IN"/>
        </w:rPr>
        <w:t xml:space="preserve">1. gyvenamosios paskirties vienbučiai ir </w:t>
      </w:r>
      <w:proofErr w:type="spellStart"/>
      <w:r>
        <w:rPr>
          <w:sz w:val="24"/>
          <w:szCs w:val="24"/>
          <w:lang w:bidi="hi-IN"/>
        </w:rPr>
        <w:t>dvibučiai</w:t>
      </w:r>
      <w:proofErr w:type="spellEnd"/>
      <w:r>
        <w:rPr>
          <w:sz w:val="24"/>
          <w:szCs w:val="24"/>
          <w:lang w:bidi="hi-IN"/>
        </w:rPr>
        <w:t xml:space="preserve"> pastatai − 1;</w:t>
      </w:r>
    </w:p>
    <w:p w:rsidR="004217CF" w:rsidRDefault="00923916" w:rsidP="008B39AF">
      <w:pPr>
        <w:widowControl w:val="0"/>
        <w:tabs>
          <w:tab w:val="left" w:pos="-1587"/>
        </w:tabs>
        <w:suppressAutoHyphens/>
        <w:spacing w:line="276" w:lineRule="auto"/>
        <w:ind w:left="964"/>
        <w:jc w:val="both"/>
        <w:rPr>
          <w:sz w:val="24"/>
          <w:szCs w:val="24"/>
          <w:lang w:bidi="hi-IN"/>
        </w:rPr>
      </w:pPr>
      <w:r>
        <w:rPr>
          <w:sz w:val="24"/>
          <w:szCs w:val="24"/>
          <w:lang w:bidi="hi-IN"/>
        </w:rPr>
        <w:t>2. gyvenamosios paskirties (trijų ir daugiau butų (daugiabučiai) pastatai − 1;</w:t>
      </w:r>
    </w:p>
    <w:p w:rsidR="004217CF" w:rsidRDefault="00923916" w:rsidP="008B39AF">
      <w:pPr>
        <w:widowControl w:val="0"/>
        <w:tabs>
          <w:tab w:val="left" w:pos="-1587"/>
        </w:tabs>
        <w:suppressAutoHyphens/>
        <w:spacing w:line="276" w:lineRule="auto"/>
        <w:ind w:left="964"/>
        <w:jc w:val="both"/>
        <w:rPr>
          <w:sz w:val="24"/>
          <w:szCs w:val="24"/>
          <w:lang w:bidi="hi-IN"/>
        </w:rPr>
      </w:pPr>
      <w:r>
        <w:rPr>
          <w:sz w:val="24"/>
          <w:szCs w:val="24"/>
          <w:lang w:bidi="hi-IN"/>
        </w:rPr>
        <w:t>3. gyvenamosios paskirties (įvairių socialinių grupių asmenims) pastatai − 1;</w:t>
      </w:r>
    </w:p>
    <w:p w:rsidR="004217CF" w:rsidRDefault="004217CF" w:rsidP="008B39AF">
      <w:pPr>
        <w:widowControl w:val="0"/>
        <w:suppressAutoHyphens/>
        <w:spacing w:line="276" w:lineRule="auto"/>
        <w:ind w:firstLine="567"/>
        <w:jc w:val="both"/>
        <w:rPr>
          <w:sz w:val="24"/>
          <w:szCs w:val="24"/>
          <w:lang w:bidi="hi-IN"/>
        </w:rPr>
      </w:pPr>
    </w:p>
    <w:p w:rsidR="004217CF" w:rsidRDefault="00923916" w:rsidP="008B39AF">
      <w:pPr>
        <w:pStyle w:val="Sraopastraipa"/>
        <w:widowControl w:val="0"/>
        <w:numPr>
          <w:ilvl w:val="0"/>
          <w:numId w:val="3"/>
        </w:numPr>
        <w:tabs>
          <w:tab w:val="left" w:pos="-1701"/>
        </w:tabs>
        <w:suppressAutoHyphens/>
        <w:spacing w:line="276" w:lineRule="auto"/>
        <w:ind w:left="1134" w:hanging="567"/>
        <w:jc w:val="both"/>
        <w:rPr>
          <w:sz w:val="24"/>
          <w:szCs w:val="24"/>
          <w:lang w:bidi="hi-IN"/>
        </w:rPr>
      </w:pPr>
      <w:r>
        <w:rPr>
          <w:sz w:val="24"/>
          <w:szCs w:val="24"/>
          <w:lang w:bidi="hi-IN"/>
        </w:rPr>
        <w:lastRenderedPageBreak/>
        <w:t>Negyvenamieji pastatai (komerciniai/administraciniai):</w:t>
      </w:r>
    </w:p>
    <w:p w:rsidR="004217CF" w:rsidRDefault="00923916" w:rsidP="008B39AF">
      <w:pPr>
        <w:widowControl w:val="0"/>
        <w:suppressAutoHyphens/>
        <w:spacing w:line="276" w:lineRule="auto"/>
        <w:ind w:left="964"/>
        <w:jc w:val="both"/>
        <w:rPr>
          <w:sz w:val="24"/>
          <w:szCs w:val="24"/>
          <w:lang w:bidi="hi-IN"/>
        </w:rPr>
      </w:pPr>
      <w:r>
        <w:rPr>
          <w:sz w:val="24"/>
          <w:szCs w:val="24"/>
          <w:lang w:bidi="hi-IN"/>
        </w:rPr>
        <w:t>1. viešbučių paskirties pastatai – 1;</w:t>
      </w:r>
    </w:p>
    <w:p w:rsidR="004217CF" w:rsidRDefault="00923916" w:rsidP="008B39AF">
      <w:pPr>
        <w:widowControl w:val="0"/>
        <w:suppressAutoHyphens/>
        <w:spacing w:line="276" w:lineRule="auto"/>
        <w:ind w:left="964"/>
        <w:jc w:val="both"/>
        <w:rPr>
          <w:sz w:val="24"/>
          <w:szCs w:val="24"/>
          <w:lang w:bidi="hi-IN"/>
        </w:rPr>
      </w:pPr>
      <w:r>
        <w:rPr>
          <w:sz w:val="24"/>
          <w:szCs w:val="24"/>
          <w:lang w:bidi="hi-IN"/>
        </w:rPr>
        <w:t>2. administracinės paskirties pastatai − 1;</w:t>
      </w:r>
    </w:p>
    <w:p w:rsidR="004217CF" w:rsidRDefault="00923916" w:rsidP="008B39AF">
      <w:pPr>
        <w:widowControl w:val="0"/>
        <w:suppressAutoHyphens/>
        <w:spacing w:line="276" w:lineRule="auto"/>
        <w:ind w:left="964"/>
        <w:jc w:val="both"/>
        <w:rPr>
          <w:sz w:val="24"/>
          <w:szCs w:val="24"/>
          <w:lang w:bidi="hi-IN"/>
        </w:rPr>
      </w:pPr>
      <w:r>
        <w:rPr>
          <w:sz w:val="24"/>
          <w:szCs w:val="24"/>
          <w:lang w:bidi="hi-IN"/>
        </w:rPr>
        <w:t xml:space="preserve">3. prekybos paskirties pastatai iki 300 m2 – 1; </w:t>
      </w:r>
    </w:p>
    <w:p w:rsidR="004217CF" w:rsidRDefault="00923916" w:rsidP="008B39AF">
      <w:pPr>
        <w:widowControl w:val="0"/>
        <w:suppressAutoHyphens/>
        <w:spacing w:line="276" w:lineRule="auto"/>
        <w:ind w:left="964"/>
        <w:jc w:val="both"/>
        <w:rPr>
          <w:sz w:val="24"/>
          <w:szCs w:val="24"/>
          <w:lang w:bidi="hi-IN"/>
        </w:rPr>
      </w:pPr>
      <w:r>
        <w:rPr>
          <w:sz w:val="24"/>
          <w:szCs w:val="24"/>
          <w:lang w:bidi="hi-IN"/>
        </w:rPr>
        <w:t xml:space="preserve">4. prekybos paskirties pastatai virš 300 m2 </w:t>
      </w:r>
      <w:r>
        <w:rPr>
          <w:sz w:val="24"/>
          <w:szCs w:val="24"/>
          <w:lang w:bidi="hi-IN"/>
        </w:rPr>
        <w:softHyphen/>
        <w:t>– 2;</w:t>
      </w:r>
    </w:p>
    <w:p w:rsidR="004217CF" w:rsidRDefault="00923916" w:rsidP="008B39AF">
      <w:pPr>
        <w:widowControl w:val="0"/>
        <w:suppressAutoHyphens/>
        <w:spacing w:line="276" w:lineRule="auto"/>
        <w:ind w:left="964"/>
        <w:jc w:val="both"/>
        <w:rPr>
          <w:sz w:val="24"/>
          <w:szCs w:val="24"/>
          <w:lang w:bidi="hi-IN"/>
        </w:rPr>
      </w:pPr>
      <w:r>
        <w:rPr>
          <w:sz w:val="24"/>
          <w:szCs w:val="24"/>
          <w:lang w:bidi="hi-IN"/>
        </w:rPr>
        <w:t xml:space="preserve">5. paslaugų paskirties pastatai (išskyrus nurodytus A grupės 6 punkte) – 1; </w:t>
      </w:r>
    </w:p>
    <w:p w:rsidR="004217CF" w:rsidRDefault="00923916" w:rsidP="008B39AF">
      <w:pPr>
        <w:widowControl w:val="0"/>
        <w:suppressAutoHyphens/>
        <w:spacing w:line="276" w:lineRule="auto"/>
        <w:ind w:left="964"/>
        <w:jc w:val="both"/>
        <w:rPr>
          <w:sz w:val="24"/>
          <w:szCs w:val="24"/>
          <w:lang w:bidi="hi-IN"/>
        </w:rPr>
      </w:pPr>
      <w:r>
        <w:rPr>
          <w:sz w:val="24"/>
          <w:szCs w:val="24"/>
          <w:lang w:bidi="hi-IN"/>
        </w:rPr>
        <w:t>6. paslaugų paskirties pastatai (autoservisai, plovyklos, laidojimo namai, krematoriumai) − 2;</w:t>
      </w:r>
    </w:p>
    <w:p w:rsidR="004217CF" w:rsidRDefault="00923916" w:rsidP="008B39AF">
      <w:pPr>
        <w:widowControl w:val="0"/>
        <w:suppressAutoHyphens/>
        <w:spacing w:line="276" w:lineRule="auto"/>
        <w:ind w:left="964"/>
        <w:jc w:val="both"/>
        <w:rPr>
          <w:sz w:val="24"/>
          <w:szCs w:val="24"/>
          <w:lang w:bidi="hi-IN"/>
        </w:rPr>
      </w:pPr>
      <w:r>
        <w:rPr>
          <w:sz w:val="24"/>
          <w:szCs w:val="24"/>
          <w:lang w:bidi="hi-IN"/>
        </w:rPr>
        <w:t>7. maitinimo paskirties pastatai − 0,5;</w:t>
      </w:r>
    </w:p>
    <w:p w:rsidR="004217CF" w:rsidRDefault="00923916" w:rsidP="008B39AF">
      <w:pPr>
        <w:widowControl w:val="0"/>
        <w:suppressAutoHyphens/>
        <w:spacing w:line="276" w:lineRule="auto"/>
        <w:ind w:left="964"/>
        <w:jc w:val="both"/>
        <w:rPr>
          <w:sz w:val="24"/>
          <w:szCs w:val="24"/>
          <w:lang w:bidi="hi-IN"/>
        </w:rPr>
      </w:pPr>
      <w:r>
        <w:rPr>
          <w:sz w:val="24"/>
          <w:szCs w:val="24"/>
          <w:lang w:bidi="hi-IN"/>
        </w:rPr>
        <w:t>8. poilsio paskirties pastatai (išskyrus nurodytus B grupės 9 punkte) − 1;</w:t>
      </w:r>
    </w:p>
    <w:p w:rsidR="004217CF" w:rsidRDefault="00923916" w:rsidP="008B39AF">
      <w:pPr>
        <w:widowControl w:val="0"/>
        <w:suppressAutoHyphens/>
        <w:spacing w:line="276" w:lineRule="auto"/>
        <w:ind w:left="964"/>
        <w:jc w:val="both"/>
        <w:rPr>
          <w:sz w:val="24"/>
          <w:szCs w:val="24"/>
          <w:lang w:bidi="hi-IN"/>
        </w:rPr>
      </w:pPr>
      <w:r>
        <w:rPr>
          <w:sz w:val="24"/>
          <w:szCs w:val="24"/>
          <w:lang w:bidi="hi-IN"/>
        </w:rPr>
        <w:t>9. poilsio paskirties pastatai (kaimo turizmo pastatai) – 2.</w:t>
      </w:r>
    </w:p>
    <w:p w:rsidR="004217CF" w:rsidRDefault="00923916" w:rsidP="008B39AF">
      <w:pPr>
        <w:pStyle w:val="Sraopastraipa"/>
        <w:widowControl w:val="0"/>
        <w:numPr>
          <w:ilvl w:val="0"/>
          <w:numId w:val="3"/>
        </w:numPr>
        <w:tabs>
          <w:tab w:val="left" w:pos="-1701"/>
        </w:tabs>
        <w:suppressAutoHyphens/>
        <w:spacing w:line="276" w:lineRule="auto"/>
        <w:ind w:left="1134" w:hanging="567"/>
        <w:jc w:val="both"/>
        <w:rPr>
          <w:sz w:val="24"/>
          <w:szCs w:val="24"/>
          <w:lang w:bidi="hi-IN"/>
        </w:rPr>
      </w:pPr>
      <w:r>
        <w:rPr>
          <w:sz w:val="24"/>
          <w:szCs w:val="24"/>
          <w:lang w:bidi="hi-IN"/>
        </w:rPr>
        <w:t>Negyvenamieji pastatai (gamybos/pramonės/kiti):</w:t>
      </w:r>
    </w:p>
    <w:p w:rsidR="004217CF" w:rsidRDefault="00923916" w:rsidP="008B39AF">
      <w:pPr>
        <w:widowControl w:val="0"/>
        <w:suppressAutoHyphens/>
        <w:spacing w:line="276" w:lineRule="auto"/>
        <w:ind w:firstLine="964"/>
        <w:jc w:val="both"/>
        <w:rPr>
          <w:sz w:val="24"/>
          <w:szCs w:val="24"/>
          <w:lang w:bidi="hi-IN"/>
        </w:rPr>
      </w:pPr>
      <w:r>
        <w:rPr>
          <w:sz w:val="24"/>
          <w:szCs w:val="24"/>
          <w:lang w:bidi="hi-IN"/>
        </w:rPr>
        <w:t>1. transporto paskirties pastatai − 1;</w:t>
      </w:r>
    </w:p>
    <w:p w:rsidR="004217CF" w:rsidRDefault="00923916" w:rsidP="008B39AF">
      <w:pPr>
        <w:widowControl w:val="0"/>
        <w:suppressAutoHyphens/>
        <w:spacing w:line="276" w:lineRule="auto"/>
        <w:ind w:firstLine="964"/>
        <w:jc w:val="both"/>
        <w:rPr>
          <w:sz w:val="24"/>
          <w:szCs w:val="24"/>
          <w:lang w:bidi="hi-IN"/>
        </w:rPr>
      </w:pPr>
      <w:r>
        <w:rPr>
          <w:sz w:val="24"/>
          <w:szCs w:val="24"/>
          <w:lang w:bidi="hi-IN"/>
        </w:rPr>
        <w:t>2. garažų paskirties pastatai − 1;</w:t>
      </w:r>
    </w:p>
    <w:p w:rsidR="004217CF" w:rsidRDefault="00923916" w:rsidP="008B39AF">
      <w:pPr>
        <w:widowControl w:val="0"/>
        <w:suppressAutoHyphens/>
        <w:spacing w:line="276" w:lineRule="auto"/>
        <w:ind w:left="720"/>
        <w:jc w:val="both"/>
        <w:rPr>
          <w:sz w:val="24"/>
          <w:szCs w:val="24"/>
          <w:lang w:bidi="hi-IN"/>
        </w:rPr>
      </w:pPr>
      <w:r>
        <w:rPr>
          <w:sz w:val="24"/>
          <w:szCs w:val="24"/>
          <w:lang w:bidi="hi-IN"/>
        </w:rPr>
        <w:t xml:space="preserve">    3. gamybos, pramonės paskirties pastatai − 1;</w:t>
      </w:r>
    </w:p>
    <w:p w:rsidR="004217CF" w:rsidRDefault="00923916" w:rsidP="008B39AF">
      <w:pPr>
        <w:widowControl w:val="0"/>
        <w:suppressAutoHyphens/>
        <w:spacing w:line="276" w:lineRule="auto"/>
        <w:ind w:firstLine="964"/>
        <w:jc w:val="both"/>
        <w:rPr>
          <w:sz w:val="24"/>
          <w:szCs w:val="24"/>
          <w:lang w:bidi="hi-IN"/>
        </w:rPr>
      </w:pPr>
      <w:r>
        <w:rPr>
          <w:sz w:val="24"/>
          <w:szCs w:val="24"/>
          <w:lang w:bidi="hi-IN"/>
        </w:rPr>
        <w:t>4. sandėliavimo paskirties pastatai − 1;</w:t>
      </w:r>
    </w:p>
    <w:p w:rsidR="004217CF" w:rsidRDefault="00923916" w:rsidP="008B39AF">
      <w:pPr>
        <w:widowControl w:val="0"/>
        <w:suppressAutoHyphens/>
        <w:spacing w:line="276" w:lineRule="auto"/>
        <w:ind w:firstLine="964"/>
        <w:jc w:val="both"/>
        <w:rPr>
          <w:sz w:val="24"/>
          <w:szCs w:val="24"/>
          <w:lang w:bidi="hi-IN"/>
        </w:rPr>
      </w:pPr>
      <w:r>
        <w:rPr>
          <w:sz w:val="24"/>
          <w:szCs w:val="24"/>
          <w:lang w:bidi="hi-IN"/>
        </w:rPr>
        <w:t>5. pagalbinio ūkio paskirties pastatai − 0,5;</w:t>
      </w:r>
    </w:p>
    <w:p w:rsidR="004217CF" w:rsidRDefault="00923916" w:rsidP="008B39AF">
      <w:pPr>
        <w:widowControl w:val="0"/>
        <w:suppressAutoHyphens/>
        <w:spacing w:line="276" w:lineRule="auto"/>
        <w:ind w:firstLine="964"/>
        <w:jc w:val="both"/>
        <w:rPr>
          <w:sz w:val="24"/>
          <w:szCs w:val="24"/>
          <w:lang w:bidi="hi-IN"/>
        </w:rPr>
      </w:pPr>
      <w:r>
        <w:rPr>
          <w:sz w:val="24"/>
          <w:szCs w:val="24"/>
          <w:lang w:bidi="hi-IN"/>
        </w:rPr>
        <w:t>6. kitos (</w:t>
      </w:r>
      <w:r w:rsidR="009252B7">
        <w:rPr>
          <w:sz w:val="24"/>
          <w:szCs w:val="24"/>
          <w:lang w:bidi="hi-IN"/>
        </w:rPr>
        <w:t>fermų) paskirties pastatai − 0,25</w:t>
      </w:r>
      <w:r>
        <w:rPr>
          <w:sz w:val="24"/>
          <w:szCs w:val="24"/>
          <w:lang w:bidi="hi-IN"/>
        </w:rPr>
        <w:t>;</w:t>
      </w:r>
    </w:p>
    <w:p w:rsidR="004217CF" w:rsidRDefault="00923916" w:rsidP="008B39AF">
      <w:pPr>
        <w:widowControl w:val="0"/>
        <w:suppressAutoHyphens/>
        <w:spacing w:line="276" w:lineRule="auto"/>
        <w:ind w:firstLine="964"/>
        <w:jc w:val="both"/>
        <w:rPr>
          <w:sz w:val="24"/>
          <w:szCs w:val="24"/>
          <w:lang w:bidi="hi-IN"/>
        </w:rPr>
      </w:pPr>
      <w:r>
        <w:rPr>
          <w:sz w:val="24"/>
          <w:szCs w:val="24"/>
          <w:lang w:bidi="hi-IN"/>
        </w:rPr>
        <w:t>7. kitos (ūkio) paskirties pastatai − 0,5;</w:t>
      </w:r>
    </w:p>
    <w:p w:rsidR="004217CF" w:rsidRDefault="00923916" w:rsidP="008B39AF">
      <w:pPr>
        <w:widowControl w:val="0"/>
        <w:suppressAutoHyphens/>
        <w:spacing w:line="276" w:lineRule="auto"/>
        <w:ind w:firstLine="964"/>
        <w:jc w:val="both"/>
        <w:rPr>
          <w:sz w:val="24"/>
          <w:szCs w:val="24"/>
          <w:lang w:bidi="hi-IN"/>
        </w:rPr>
      </w:pPr>
      <w:r>
        <w:rPr>
          <w:sz w:val="24"/>
          <w:szCs w:val="24"/>
          <w:lang w:bidi="hi-IN"/>
        </w:rPr>
        <w:t>8. kitos (šiltnamių) paskirties pastatai  − 0,1;</w:t>
      </w:r>
    </w:p>
    <w:p w:rsidR="004217CF" w:rsidRDefault="00923916" w:rsidP="008B39AF">
      <w:pPr>
        <w:widowControl w:val="0"/>
        <w:suppressAutoHyphens/>
        <w:spacing w:line="276" w:lineRule="auto"/>
        <w:ind w:firstLine="964"/>
        <w:jc w:val="both"/>
        <w:rPr>
          <w:sz w:val="24"/>
          <w:szCs w:val="24"/>
          <w:lang w:bidi="hi-IN"/>
        </w:rPr>
      </w:pPr>
      <w:r>
        <w:rPr>
          <w:sz w:val="24"/>
          <w:szCs w:val="24"/>
          <w:lang w:bidi="hi-IN"/>
        </w:rPr>
        <w:t>9. kiti (sodų) paskirties pastatai − 1;</w:t>
      </w:r>
    </w:p>
    <w:p w:rsidR="004217CF" w:rsidRDefault="00923916" w:rsidP="008B39AF">
      <w:pPr>
        <w:widowControl w:val="0"/>
        <w:suppressAutoHyphens/>
        <w:spacing w:line="276" w:lineRule="auto"/>
        <w:ind w:left="964"/>
        <w:jc w:val="both"/>
        <w:rPr>
          <w:sz w:val="24"/>
          <w:szCs w:val="24"/>
          <w:lang w:bidi="hi-IN"/>
        </w:rPr>
      </w:pPr>
      <w:r>
        <w:rPr>
          <w:sz w:val="24"/>
          <w:szCs w:val="24"/>
          <w:lang w:bidi="hi-IN"/>
        </w:rPr>
        <w:t>10. kitos paskirties pastatai, kurių negalima priskirti prie kitų aukščiau išvardintų pastatų grupių − 2.</w:t>
      </w:r>
    </w:p>
    <w:p w:rsidR="004217CF" w:rsidRDefault="00923916" w:rsidP="008B39AF">
      <w:pPr>
        <w:pStyle w:val="Sraopastraipa"/>
        <w:widowControl w:val="0"/>
        <w:numPr>
          <w:ilvl w:val="0"/>
          <w:numId w:val="3"/>
        </w:numPr>
        <w:tabs>
          <w:tab w:val="left" w:pos="-1701"/>
        </w:tabs>
        <w:suppressAutoHyphens/>
        <w:spacing w:line="276" w:lineRule="auto"/>
        <w:ind w:left="1134" w:hanging="567"/>
        <w:jc w:val="both"/>
        <w:rPr>
          <w:sz w:val="24"/>
          <w:szCs w:val="24"/>
          <w:lang w:bidi="hi-IN"/>
        </w:rPr>
      </w:pPr>
      <w:r>
        <w:rPr>
          <w:sz w:val="24"/>
          <w:szCs w:val="24"/>
          <w:lang w:bidi="hi-IN"/>
        </w:rPr>
        <w:t>Negyvenamieji pastatai (visuomeniniai):</w:t>
      </w:r>
    </w:p>
    <w:p w:rsidR="004217CF" w:rsidRDefault="00923916" w:rsidP="008B39AF">
      <w:pPr>
        <w:widowControl w:val="0"/>
        <w:suppressAutoHyphens/>
        <w:spacing w:line="276" w:lineRule="auto"/>
        <w:ind w:left="964"/>
        <w:jc w:val="both"/>
        <w:rPr>
          <w:sz w:val="24"/>
          <w:szCs w:val="24"/>
          <w:lang w:bidi="hi-IN"/>
        </w:rPr>
      </w:pPr>
      <w:r>
        <w:rPr>
          <w:sz w:val="24"/>
          <w:szCs w:val="24"/>
          <w:lang w:bidi="hi-IN"/>
        </w:rPr>
        <w:t>1. kultūros paskirties pastatai − 0,5;</w:t>
      </w:r>
    </w:p>
    <w:p w:rsidR="004217CF" w:rsidRDefault="00923916" w:rsidP="008B39AF">
      <w:pPr>
        <w:widowControl w:val="0"/>
        <w:suppressAutoHyphens/>
        <w:spacing w:line="276" w:lineRule="auto"/>
        <w:ind w:left="964"/>
        <w:jc w:val="both"/>
        <w:rPr>
          <w:sz w:val="24"/>
          <w:szCs w:val="24"/>
          <w:lang w:bidi="hi-IN"/>
        </w:rPr>
      </w:pPr>
      <w:r>
        <w:rPr>
          <w:sz w:val="24"/>
          <w:szCs w:val="24"/>
          <w:lang w:bidi="hi-IN"/>
        </w:rPr>
        <w:t>2. mokslo paskirties pastatai − 0,5;</w:t>
      </w:r>
    </w:p>
    <w:p w:rsidR="004217CF" w:rsidRDefault="00923916" w:rsidP="008B39AF">
      <w:pPr>
        <w:widowControl w:val="0"/>
        <w:suppressAutoHyphens/>
        <w:spacing w:line="276" w:lineRule="auto"/>
        <w:ind w:left="964"/>
        <w:jc w:val="both"/>
        <w:rPr>
          <w:sz w:val="24"/>
          <w:szCs w:val="24"/>
          <w:lang w:bidi="hi-IN"/>
        </w:rPr>
      </w:pPr>
      <w:r>
        <w:rPr>
          <w:sz w:val="24"/>
          <w:szCs w:val="24"/>
          <w:lang w:bidi="hi-IN"/>
        </w:rPr>
        <w:t>3. gydymo paskirties pastatai − 0,5;</w:t>
      </w:r>
    </w:p>
    <w:p w:rsidR="004217CF" w:rsidRDefault="00923916" w:rsidP="008B39AF">
      <w:pPr>
        <w:widowControl w:val="0"/>
        <w:suppressAutoHyphens/>
        <w:spacing w:line="276" w:lineRule="auto"/>
        <w:ind w:left="964"/>
        <w:jc w:val="both"/>
        <w:rPr>
          <w:sz w:val="24"/>
          <w:szCs w:val="24"/>
          <w:lang w:bidi="hi-IN"/>
        </w:rPr>
      </w:pPr>
      <w:r>
        <w:rPr>
          <w:sz w:val="24"/>
          <w:szCs w:val="24"/>
          <w:lang w:bidi="hi-IN"/>
        </w:rPr>
        <w:t>4. sporto paskirties pastatai − 0,5;</w:t>
      </w:r>
    </w:p>
    <w:p w:rsidR="004217CF" w:rsidRDefault="00923916" w:rsidP="008B39AF">
      <w:pPr>
        <w:widowControl w:val="0"/>
        <w:suppressAutoHyphens/>
        <w:spacing w:line="276" w:lineRule="auto"/>
        <w:ind w:left="964"/>
        <w:jc w:val="both"/>
        <w:rPr>
          <w:sz w:val="24"/>
          <w:szCs w:val="24"/>
          <w:lang w:bidi="hi-IN"/>
        </w:rPr>
      </w:pPr>
      <w:r>
        <w:rPr>
          <w:sz w:val="24"/>
          <w:szCs w:val="24"/>
          <w:lang w:bidi="hi-IN"/>
        </w:rPr>
        <w:t>5. religinės paskirties pastatai − 0,5;</w:t>
      </w:r>
    </w:p>
    <w:p w:rsidR="004217CF" w:rsidRDefault="00923916" w:rsidP="008B39AF">
      <w:pPr>
        <w:widowControl w:val="0"/>
        <w:suppressAutoHyphens/>
        <w:spacing w:line="276" w:lineRule="auto"/>
        <w:ind w:left="300"/>
        <w:jc w:val="both"/>
        <w:rPr>
          <w:sz w:val="24"/>
          <w:szCs w:val="24"/>
          <w:lang w:bidi="hi-IN"/>
        </w:rPr>
      </w:pPr>
      <w:r>
        <w:rPr>
          <w:sz w:val="24"/>
          <w:szCs w:val="24"/>
          <w:lang w:bidi="hi-IN"/>
        </w:rPr>
        <w:t xml:space="preserve">           6. specialiosios paskirties pastatai − 0,5.</w:t>
      </w:r>
    </w:p>
    <w:p w:rsidR="00615FD6" w:rsidRDefault="00615FD6" w:rsidP="008B39AF">
      <w:pPr>
        <w:widowControl w:val="0"/>
        <w:suppressAutoHyphens/>
        <w:spacing w:line="276" w:lineRule="auto"/>
        <w:ind w:left="300"/>
        <w:jc w:val="both"/>
        <w:rPr>
          <w:sz w:val="24"/>
          <w:szCs w:val="24"/>
          <w:lang w:bidi="hi-IN"/>
        </w:rPr>
      </w:pPr>
      <w:r>
        <w:rPr>
          <w:sz w:val="24"/>
          <w:szCs w:val="24"/>
          <w:lang w:bidi="hi-IN"/>
        </w:rPr>
        <w:tab/>
      </w:r>
    </w:p>
    <w:p w:rsidR="004217CF" w:rsidRDefault="00923916" w:rsidP="008B39AF">
      <w:pPr>
        <w:widowControl w:val="0"/>
        <w:suppressAutoHyphens/>
        <w:spacing w:line="276" w:lineRule="auto"/>
        <w:ind w:left="300"/>
        <w:jc w:val="both"/>
        <w:rPr>
          <w:sz w:val="24"/>
          <w:szCs w:val="24"/>
          <w:lang w:bidi="hi-IN"/>
        </w:rPr>
      </w:pPr>
      <w:r>
        <w:rPr>
          <w:sz w:val="24"/>
          <w:szCs w:val="24"/>
          <w:lang w:bidi="hi-IN"/>
        </w:rPr>
        <w:t>Sprendimas įsigalioja nuo 2023 m. sausio 1 d.</w:t>
      </w:r>
    </w:p>
    <w:p w:rsidR="004217CF" w:rsidRDefault="004217CF">
      <w:pPr>
        <w:widowControl w:val="0"/>
        <w:suppressAutoHyphens/>
        <w:spacing w:line="276" w:lineRule="auto"/>
        <w:ind w:left="964"/>
        <w:rPr>
          <w:sz w:val="24"/>
          <w:szCs w:val="24"/>
          <w:lang w:bidi="hi-IN"/>
        </w:rPr>
      </w:pPr>
    </w:p>
    <w:p w:rsidR="004217CF" w:rsidRDefault="004217CF">
      <w:pPr>
        <w:widowControl w:val="0"/>
        <w:suppressAutoHyphens/>
        <w:spacing w:line="276" w:lineRule="auto"/>
        <w:rPr>
          <w:sz w:val="24"/>
          <w:szCs w:val="24"/>
          <w:lang w:bidi="hi-IN"/>
        </w:rPr>
      </w:pPr>
    </w:p>
    <w:p w:rsidR="004217CF" w:rsidRDefault="004217CF">
      <w:pPr>
        <w:widowControl w:val="0"/>
        <w:suppressAutoHyphens/>
        <w:spacing w:line="276" w:lineRule="auto"/>
        <w:rPr>
          <w:sz w:val="24"/>
          <w:szCs w:val="24"/>
          <w:lang w:bidi="hi-IN"/>
        </w:rPr>
      </w:pPr>
    </w:p>
    <w:p w:rsidR="00615FD6" w:rsidRDefault="00923916">
      <w:pPr>
        <w:spacing w:line="360" w:lineRule="auto"/>
        <w:jc w:val="both"/>
        <w:rPr>
          <w:sz w:val="24"/>
          <w:szCs w:val="24"/>
        </w:rPr>
      </w:pPr>
      <w:r>
        <w:rPr>
          <w:sz w:val="24"/>
          <w:szCs w:val="24"/>
        </w:rPr>
        <w:t>Savivaldybės meras</w:t>
      </w:r>
      <w:r>
        <w:rPr>
          <w:sz w:val="24"/>
          <w:szCs w:val="24"/>
        </w:rPr>
        <w:tab/>
      </w:r>
    </w:p>
    <w:p w:rsidR="00615FD6" w:rsidRDefault="00615FD6">
      <w:pPr>
        <w:spacing w:line="360" w:lineRule="auto"/>
        <w:jc w:val="both"/>
        <w:rPr>
          <w:sz w:val="24"/>
          <w:szCs w:val="24"/>
        </w:rPr>
      </w:pPr>
    </w:p>
    <w:p w:rsidR="004217CF" w:rsidRDefault="00923916">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p>
    <w:p w:rsidR="004217CF" w:rsidRDefault="004217CF">
      <w:pPr>
        <w:widowControl w:val="0"/>
        <w:suppressAutoHyphens/>
        <w:spacing w:line="276" w:lineRule="auto"/>
        <w:rPr>
          <w:sz w:val="24"/>
          <w:szCs w:val="24"/>
          <w:lang w:bidi="hi-IN"/>
        </w:rPr>
      </w:pPr>
    </w:p>
    <w:tbl>
      <w:tblPr>
        <w:tblStyle w:val="Lentelstinklelis"/>
        <w:tblW w:w="9748" w:type="dxa"/>
        <w:tblLook w:val="04A0" w:firstRow="1" w:lastRow="0" w:firstColumn="1" w:lastColumn="0" w:noHBand="0" w:noVBand="1"/>
      </w:tblPr>
      <w:tblGrid>
        <w:gridCol w:w="2235"/>
        <w:gridCol w:w="567"/>
        <w:gridCol w:w="2692"/>
        <w:gridCol w:w="716"/>
        <w:gridCol w:w="2267"/>
        <w:gridCol w:w="1271"/>
      </w:tblGrid>
      <w:tr w:rsidR="004217CF">
        <w:tc>
          <w:tcPr>
            <w:tcW w:w="2235" w:type="dxa"/>
            <w:tcBorders>
              <w:top w:val="nil"/>
              <w:left w:val="nil"/>
              <w:bottom w:val="nil"/>
              <w:right w:val="nil"/>
            </w:tcBorders>
          </w:tcPr>
          <w:p w:rsidR="004217CF" w:rsidRDefault="00923916">
            <w:pPr>
              <w:rPr>
                <w:sz w:val="24"/>
              </w:rPr>
            </w:pPr>
            <w:r>
              <w:rPr>
                <w:sz w:val="24"/>
              </w:rPr>
              <w:t xml:space="preserve">Vaidas </w:t>
            </w:r>
            <w:proofErr w:type="spellStart"/>
            <w:r>
              <w:rPr>
                <w:sz w:val="24"/>
              </w:rPr>
              <w:t>Špečkauskas</w:t>
            </w:r>
            <w:proofErr w:type="spellEnd"/>
          </w:p>
        </w:tc>
        <w:tc>
          <w:tcPr>
            <w:tcW w:w="567" w:type="dxa"/>
            <w:tcBorders>
              <w:top w:val="nil"/>
              <w:left w:val="nil"/>
              <w:bottom w:val="nil"/>
              <w:right w:val="nil"/>
            </w:tcBorders>
          </w:tcPr>
          <w:p w:rsidR="004217CF" w:rsidRDefault="004217CF">
            <w:pPr>
              <w:rPr>
                <w:sz w:val="24"/>
              </w:rPr>
            </w:pPr>
          </w:p>
        </w:tc>
        <w:tc>
          <w:tcPr>
            <w:tcW w:w="2692" w:type="dxa"/>
            <w:tcBorders>
              <w:top w:val="nil"/>
              <w:left w:val="nil"/>
              <w:bottom w:val="nil"/>
              <w:right w:val="nil"/>
            </w:tcBorders>
          </w:tcPr>
          <w:p w:rsidR="004217CF" w:rsidRDefault="00923916">
            <w:pPr>
              <w:rPr>
                <w:sz w:val="24"/>
              </w:rPr>
            </w:pPr>
            <w:r>
              <w:rPr>
                <w:sz w:val="24"/>
              </w:rPr>
              <w:t xml:space="preserve">Rytis </w:t>
            </w:r>
            <w:proofErr w:type="spellStart"/>
            <w:r>
              <w:rPr>
                <w:sz w:val="24"/>
              </w:rPr>
              <w:t>Vieštautas</w:t>
            </w:r>
            <w:proofErr w:type="spellEnd"/>
          </w:p>
        </w:tc>
        <w:tc>
          <w:tcPr>
            <w:tcW w:w="716" w:type="dxa"/>
            <w:tcBorders>
              <w:top w:val="nil"/>
              <w:left w:val="nil"/>
              <w:bottom w:val="nil"/>
              <w:right w:val="nil"/>
            </w:tcBorders>
          </w:tcPr>
          <w:p w:rsidR="004217CF" w:rsidRDefault="004217CF">
            <w:pPr>
              <w:rPr>
                <w:sz w:val="24"/>
              </w:rPr>
            </w:pPr>
          </w:p>
        </w:tc>
        <w:tc>
          <w:tcPr>
            <w:tcW w:w="2267" w:type="dxa"/>
            <w:tcBorders>
              <w:top w:val="nil"/>
              <w:left w:val="nil"/>
              <w:bottom w:val="nil"/>
              <w:right w:val="nil"/>
            </w:tcBorders>
          </w:tcPr>
          <w:p w:rsidR="004217CF" w:rsidRDefault="00923916">
            <w:pPr>
              <w:rPr>
                <w:sz w:val="24"/>
              </w:rPr>
            </w:pPr>
            <w:r>
              <w:rPr>
                <w:sz w:val="24"/>
              </w:rPr>
              <w:t>Arūnas Kacevičius</w:t>
            </w:r>
          </w:p>
        </w:tc>
        <w:tc>
          <w:tcPr>
            <w:tcW w:w="1271" w:type="dxa"/>
            <w:tcBorders>
              <w:top w:val="nil"/>
              <w:left w:val="nil"/>
              <w:bottom w:val="nil"/>
              <w:right w:val="nil"/>
            </w:tcBorders>
          </w:tcPr>
          <w:p w:rsidR="004217CF" w:rsidRDefault="004217CF">
            <w:pPr>
              <w:rPr>
                <w:sz w:val="24"/>
              </w:rPr>
            </w:pPr>
          </w:p>
        </w:tc>
      </w:tr>
      <w:tr w:rsidR="004217CF" w:rsidTr="00615FD6">
        <w:trPr>
          <w:trHeight w:val="664"/>
        </w:trPr>
        <w:tc>
          <w:tcPr>
            <w:tcW w:w="2235" w:type="dxa"/>
            <w:tcBorders>
              <w:top w:val="nil"/>
              <w:left w:val="nil"/>
              <w:bottom w:val="nil"/>
              <w:right w:val="nil"/>
            </w:tcBorders>
          </w:tcPr>
          <w:p w:rsidR="004217CF" w:rsidRDefault="00923916">
            <w:r>
              <w:rPr>
                <w:sz w:val="24"/>
              </w:rPr>
              <w:t>2022-10-19</w:t>
            </w:r>
          </w:p>
        </w:tc>
        <w:tc>
          <w:tcPr>
            <w:tcW w:w="567" w:type="dxa"/>
            <w:tcBorders>
              <w:top w:val="nil"/>
              <w:left w:val="nil"/>
              <w:bottom w:val="nil"/>
              <w:right w:val="nil"/>
            </w:tcBorders>
          </w:tcPr>
          <w:p w:rsidR="004217CF" w:rsidRDefault="004217CF"/>
        </w:tc>
        <w:tc>
          <w:tcPr>
            <w:tcW w:w="2692" w:type="dxa"/>
            <w:tcBorders>
              <w:top w:val="nil"/>
              <w:left w:val="nil"/>
              <w:bottom w:val="nil"/>
              <w:right w:val="nil"/>
            </w:tcBorders>
          </w:tcPr>
          <w:p w:rsidR="004217CF" w:rsidRDefault="00923916">
            <w:r>
              <w:rPr>
                <w:sz w:val="24"/>
              </w:rPr>
              <w:t>2022-10-19</w:t>
            </w:r>
          </w:p>
        </w:tc>
        <w:tc>
          <w:tcPr>
            <w:tcW w:w="716" w:type="dxa"/>
            <w:tcBorders>
              <w:top w:val="nil"/>
              <w:left w:val="nil"/>
              <w:bottom w:val="nil"/>
              <w:right w:val="nil"/>
            </w:tcBorders>
          </w:tcPr>
          <w:p w:rsidR="004217CF" w:rsidRDefault="004217CF"/>
        </w:tc>
        <w:tc>
          <w:tcPr>
            <w:tcW w:w="2267" w:type="dxa"/>
            <w:tcBorders>
              <w:top w:val="nil"/>
              <w:left w:val="nil"/>
              <w:bottom w:val="nil"/>
              <w:right w:val="nil"/>
            </w:tcBorders>
          </w:tcPr>
          <w:p w:rsidR="004217CF" w:rsidRDefault="00923916">
            <w:r>
              <w:rPr>
                <w:sz w:val="24"/>
              </w:rPr>
              <w:t>2022-10-19</w:t>
            </w:r>
          </w:p>
        </w:tc>
        <w:tc>
          <w:tcPr>
            <w:tcW w:w="1271" w:type="dxa"/>
            <w:tcBorders>
              <w:top w:val="nil"/>
              <w:left w:val="nil"/>
              <w:bottom w:val="nil"/>
              <w:right w:val="nil"/>
            </w:tcBorders>
          </w:tcPr>
          <w:p w:rsidR="004217CF" w:rsidRDefault="004217CF"/>
        </w:tc>
      </w:tr>
      <w:tr w:rsidR="004217CF">
        <w:tc>
          <w:tcPr>
            <w:tcW w:w="2235" w:type="dxa"/>
            <w:tcBorders>
              <w:top w:val="nil"/>
              <w:left w:val="nil"/>
              <w:bottom w:val="nil"/>
              <w:right w:val="nil"/>
            </w:tcBorders>
          </w:tcPr>
          <w:p w:rsidR="004217CF" w:rsidRDefault="00923916">
            <w:pPr>
              <w:rPr>
                <w:sz w:val="24"/>
              </w:rPr>
            </w:pPr>
            <w:r>
              <w:rPr>
                <w:sz w:val="24"/>
              </w:rPr>
              <w:t xml:space="preserve">Rūta Švedienė   </w:t>
            </w:r>
          </w:p>
        </w:tc>
        <w:tc>
          <w:tcPr>
            <w:tcW w:w="567" w:type="dxa"/>
            <w:tcBorders>
              <w:top w:val="nil"/>
              <w:left w:val="nil"/>
              <w:bottom w:val="nil"/>
              <w:right w:val="nil"/>
            </w:tcBorders>
          </w:tcPr>
          <w:p w:rsidR="004217CF" w:rsidRDefault="004217CF">
            <w:pPr>
              <w:rPr>
                <w:sz w:val="24"/>
              </w:rPr>
            </w:pPr>
          </w:p>
        </w:tc>
        <w:tc>
          <w:tcPr>
            <w:tcW w:w="2692" w:type="dxa"/>
            <w:tcBorders>
              <w:top w:val="nil"/>
              <w:left w:val="nil"/>
              <w:bottom w:val="nil"/>
              <w:right w:val="nil"/>
            </w:tcBorders>
          </w:tcPr>
          <w:p w:rsidR="004217CF" w:rsidRDefault="00923916">
            <w:pPr>
              <w:rPr>
                <w:sz w:val="24"/>
              </w:rPr>
            </w:pPr>
            <w:r>
              <w:rPr>
                <w:sz w:val="24"/>
              </w:rPr>
              <w:t xml:space="preserve"> Elena </w:t>
            </w:r>
            <w:proofErr w:type="spellStart"/>
            <w:r>
              <w:rPr>
                <w:sz w:val="24"/>
              </w:rPr>
              <w:t>Neimaer-Zinkienė</w:t>
            </w:r>
            <w:proofErr w:type="spellEnd"/>
            <w:r>
              <w:rPr>
                <w:sz w:val="24"/>
              </w:rPr>
              <w:t xml:space="preserve"> </w:t>
            </w:r>
          </w:p>
        </w:tc>
        <w:tc>
          <w:tcPr>
            <w:tcW w:w="716" w:type="dxa"/>
            <w:tcBorders>
              <w:top w:val="nil"/>
              <w:left w:val="nil"/>
              <w:bottom w:val="nil"/>
              <w:right w:val="nil"/>
            </w:tcBorders>
          </w:tcPr>
          <w:p w:rsidR="004217CF" w:rsidRDefault="004217CF">
            <w:pPr>
              <w:rPr>
                <w:sz w:val="24"/>
              </w:rPr>
            </w:pPr>
          </w:p>
        </w:tc>
        <w:tc>
          <w:tcPr>
            <w:tcW w:w="2267" w:type="dxa"/>
            <w:tcBorders>
              <w:top w:val="nil"/>
              <w:left w:val="nil"/>
              <w:bottom w:val="nil"/>
              <w:right w:val="nil"/>
            </w:tcBorders>
          </w:tcPr>
          <w:p w:rsidR="004217CF" w:rsidRDefault="00923916">
            <w:pPr>
              <w:rPr>
                <w:sz w:val="24"/>
              </w:rPr>
            </w:pPr>
            <w:r>
              <w:rPr>
                <w:sz w:val="24"/>
              </w:rPr>
              <w:t xml:space="preserve"> Gintautas </w:t>
            </w:r>
            <w:proofErr w:type="spellStart"/>
            <w:r>
              <w:rPr>
                <w:sz w:val="24"/>
              </w:rPr>
              <w:t>Muznikas</w:t>
            </w:r>
            <w:proofErr w:type="spellEnd"/>
          </w:p>
        </w:tc>
        <w:tc>
          <w:tcPr>
            <w:tcW w:w="1271" w:type="dxa"/>
            <w:tcBorders>
              <w:top w:val="nil"/>
              <w:left w:val="nil"/>
              <w:bottom w:val="nil"/>
              <w:right w:val="nil"/>
            </w:tcBorders>
          </w:tcPr>
          <w:p w:rsidR="004217CF" w:rsidRDefault="004217CF">
            <w:pPr>
              <w:rPr>
                <w:sz w:val="24"/>
              </w:rPr>
            </w:pPr>
          </w:p>
        </w:tc>
      </w:tr>
      <w:tr w:rsidR="004217CF" w:rsidTr="00615FD6">
        <w:trPr>
          <w:trHeight w:val="429"/>
        </w:trPr>
        <w:tc>
          <w:tcPr>
            <w:tcW w:w="2235" w:type="dxa"/>
            <w:tcBorders>
              <w:top w:val="nil"/>
              <w:left w:val="nil"/>
              <w:bottom w:val="nil"/>
              <w:right w:val="nil"/>
            </w:tcBorders>
          </w:tcPr>
          <w:p w:rsidR="004217CF" w:rsidRDefault="00923916">
            <w:r>
              <w:rPr>
                <w:sz w:val="24"/>
              </w:rPr>
              <w:t>2022-10-19</w:t>
            </w:r>
          </w:p>
        </w:tc>
        <w:tc>
          <w:tcPr>
            <w:tcW w:w="567" w:type="dxa"/>
            <w:tcBorders>
              <w:top w:val="nil"/>
              <w:left w:val="nil"/>
              <w:bottom w:val="nil"/>
              <w:right w:val="nil"/>
            </w:tcBorders>
          </w:tcPr>
          <w:p w:rsidR="004217CF" w:rsidRDefault="004217CF">
            <w:pPr>
              <w:rPr>
                <w:sz w:val="24"/>
              </w:rPr>
            </w:pPr>
          </w:p>
        </w:tc>
        <w:tc>
          <w:tcPr>
            <w:tcW w:w="2692" w:type="dxa"/>
            <w:tcBorders>
              <w:top w:val="nil"/>
              <w:left w:val="nil"/>
              <w:bottom w:val="nil"/>
              <w:right w:val="nil"/>
            </w:tcBorders>
          </w:tcPr>
          <w:p w:rsidR="004217CF" w:rsidRDefault="00923916">
            <w:r>
              <w:rPr>
                <w:sz w:val="24"/>
              </w:rPr>
              <w:t>2022-10-19</w:t>
            </w:r>
          </w:p>
        </w:tc>
        <w:tc>
          <w:tcPr>
            <w:tcW w:w="716" w:type="dxa"/>
            <w:tcBorders>
              <w:top w:val="nil"/>
              <w:left w:val="nil"/>
              <w:bottom w:val="nil"/>
              <w:right w:val="nil"/>
            </w:tcBorders>
          </w:tcPr>
          <w:p w:rsidR="004217CF" w:rsidRDefault="004217CF">
            <w:pPr>
              <w:rPr>
                <w:sz w:val="24"/>
              </w:rPr>
            </w:pPr>
          </w:p>
        </w:tc>
        <w:tc>
          <w:tcPr>
            <w:tcW w:w="2267" w:type="dxa"/>
            <w:tcBorders>
              <w:top w:val="nil"/>
              <w:left w:val="nil"/>
              <w:bottom w:val="nil"/>
              <w:right w:val="nil"/>
            </w:tcBorders>
          </w:tcPr>
          <w:p w:rsidR="004217CF" w:rsidRDefault="00923916">
            <w:r>
              <w:rPr>
                <w:sz w:val="24"/>
              </w:rPr>
              <w:t>2022-10-19</w:t>
            </w:r>
          </w:p>
        </w:tc>
        <w:tc>
          <w:tcPr>
            <w:tcW w:w="1271" w:type="dxa"/>
            <w:tcBorders>
              <w:top w:val="nil"/>
              <w:left w:val="nil"/>
              <w:bottom w:val="nil"/>
              <w:right w:val="nil"/>
            </w:tcBorders>
          </w:tcPr>
          <w:p w:rsidR="004217CF" w:rsidRDefault="004217CF">
            <w:pPr>
              <w:rPr>
                <w:sz w:val="24"/>
              </w:rPr>
            </w:pPr>
          </w:p>
        </w:tc>
      </w:tr>
    </w:tbl>
    <w:p w:rsidR="004217CF" w:rsidRDefault="00923916">
      <w:pPr>
        <w:suppressAutoHyphens/>
        <w:ind w:firstLine="680"/>
        <w:rPr>
          <w:sz w:val="24"/>
          <w:szCs w:val="24"/>
        </w:rPr>
      </w:pPr>
      <w:r>
        <w:rPr>
          <w:sz w:val="24"/>
          <w:szCs w:val="24"/>
        </w:rPr>
        <w:t>Kėdainių rajono savivaldybės tarybai</w:t>
      </w:r>
    </w:p>
    <w:p w:rsidR="004217CF" w:rsidRDefault="004217CF">
      <w:pPr>
        <w:suppressAutoHyphens/>
        <w:rPr>
          <w:sz w:val="24"/>
          <w:szCs w:val="24"/>
        </w:rPr>
      </w:pPr>
    </w:p>
    <w:p w:rsidR="004217CF" w:rsidRDefault="00923916">
      <w:pPr>
        <w:suppressAutoHyphens/>
        <w:ind w:firstLine="680"/>
        <w:jc w:val="center"/>
        <w:rPr>
          <w:b/>
          <w:sz w:val="24"/>
          <w:szCs w:val="24"/>
        </w:rPr>
      </w:pPr>
      <w:r>
        <w:rPr>
          <w:b/>
          <w:sz w:val="24"/>
          <w:szCs w:val="24"/>
        </w:rPr>
        <w:t>AIŠKINAMASIS RAŠTAS</w:t>
      </w:r>
    </w:p>
    <w:p w:rsidR="004217CF" w:rsidRDefault="004217CF">
      <w:pPr>
        <w:suppressAutoHyphens/>
        <w:rPr>
          <w:b/>
          <w:sz w:val="24"/>
          <w:szCs w:val="24"/>
        </w:rPr>
      </w:pPr>
    </w:p>
    <w:p w:rsidR="004217CF" w:rsidRDefault="00923916">
      <w:pPr>
        <w:suppressAutoHyphens/>
        <w:jc w:val="center"/>
        <w:rPr>
          <w:b/>
          <w:sz w:val="24"/>
          <w:szCs w:val="24"/>
        </w:rPr>
      </w:pPr>
      <w:r>
        <w:rPr>
          <w:b/>
          <w:sz w:val="24"/>
          <w:szCs w:val="24"/>
        </w:rPr>
        <w:t>DĖL KĖDAINIŲ RAJONO SAVIVALDYBĖS INFRASTRUKTŪROS PLĖTROS ĮMOKOS TARIFŲ PATVIRTINIMO</w:t>
      </w:r>
    </w:p>
    <w:p w:rsidR="004217CF" w:rsidRDefault="004217CF">
      <w:pPr>
        <w:suppressAutoHyphens/>
        <w:ind w:firstLine="680"/>
        <w:jc w:val="center"/>
        <w:rPr>
          <w:b/>
          <w:sz w:val="24"/>
          <w:szCs w:val="24"/>
        </w:rPr>
      </w:pPr>
    </w:p>
    <w:p w:rsidR="004217CF" w:rsidRDefault="00923916">
      <w:pPr>
        <w:suppressAutoHyphens/>
        <w:ind w:firstLine="680"/>
        <w:rPr>
          <w:sz w:val="24"/>
          <w:szCs w:val="24"/>
        </w:rPr>
      </w:pPr>
      <w:r>
        <w:rPr>
          <w:sz w:val="24"/>
          <w:szCs w:val="24"/>
        </w:rPr>
        <w:t xml:space="preserve">                                                                 2022-10-14</w:t>
      </w:r>
    </w:p>
    <w:p w:rsidR="004217CF" w:rsidRDefault="00923916">
      <w:pPr>
        <w:suppressAutoHyphens/>
        <w:ind w:firstLine="680"/>
        <w:jc w:val="center"/>
        <w:rPr>
          <w:sz w:val="24"/>
          <w:szCs w:val="24"/>
        </w:rPr>
      </w:pPr>
      <w:r>
        <w:rPr>
          <w:sz w:val="24"/>
          <w:szCs w:val="24"/>
        </w:rPr>
        <w:t>Kėdainiai</w:t>
      </w:r>
    </w:p>
    <w:p w:rsidR="004217CF" w:rsidRDefault="004217CF">
      <w:pPr>
        <w:suppressAutoHyphens/>
        <w:rPr>
          <w:sz w:val="24"/>
          <w:szCs w:val="24"/>
        </w:rPr>
      </w:pPr>
    </w:p>
    <w:p w:rsidR="004217CF" w:rsidRDefault="00923916">
      <w:pPr>
        <w:suppressAutoHyphens/>
        <w:ind w:firstLine="709"/>
        <w:outlineLvl w:val="0"/>
        <w:rPr>
          <w:b/>
          <w:bCs/>
          <w:kern w:val="1"/>
          <w:sz w:val="24"/>
          <w:szCs w:val="24"/>
        </w:rPr>
      </w:pPr>
      <w:r>
        <w:rPr>
          <w:b/>
          <w:bCs/>
          <w:kern w:val="1"/>
          <w:sz w:val="24"/>
          <w:szCs w:val="24"/>
        </w:rPr>
        <w:t>Parengto sprendimo projekto tikslai:</w:t>
      </w:r>
    </w:p>
    <w:p w:rsidR="004217CF" w:rsidRDefault="00923916">
      <w:pPr>
        <w:suppressAutoHyphens/>
        <w:ind w:firstLine="709"/>
        <w:jc w:val="both"/>
        <w:outlineLvl w:val="0"/>
        <w:rPr>
          <w:sz w:val="24"/>
          <w:szCs w:val="24"/>
        </w:rPr>
      </w:pPr>
      <w:r>
        <w:rPr>
          <w:color w:val="000000"/>
          <w:kern w:val="1"/>
          <w:sz w:val="24"/>
          <w:szCs w:val="24"/>
        </w:rPr>
        <w:t xml:space="preserve">Patvirtinti Kėdainių rajono savivaldybės infrastruktūros plėtros įmokos tarifą, kuris įsigalios nuo 2023 m. sausio 1 d., nes 2021 m. gruodžio 17 d. patvirtintas sprendimas „Dėl Kėdainių rajono savivaldybės infrastruktūros plėtros įmokos tarifo patvirtinimo“, kuriuo patvirtintas įmokos tarifas -0 </w:t>
      </w:r>
      <w:proofErr w:type="spellStart"/>
      <w:r>
        <w:rPr>
          <w:color w:val="000000"/>
          <w:kern w:val="1"/>
          <w:sz w:val="24"/>
          <w:szCs w:val="24"/>
        </w:rPr>
        <w:t>Eur</w:t>
      </w:r>
      <w:proofErr w:type="spellEnd"/>
      <w:r>
        <w:rPr>
          <w:color w:val="000000"/>
          <w:kern w:val="1"/>
          <w:sz w:val="24"/>
          <w:szCs w:val="24"/>
        </w:rPr>
        <w:t xml:space="preserve">/m2 galioja tik iki 2022 metų pabaigos. </w:t>
      </w:r>
    </w:p>
    <w:p w:rsidR="004217CF" w:rsidRDefault="00923916">
      <w:pPr>
        <w:suppressAutoHyphens/>
        <w:ind w:firstLine="709"/>
        <w:rPr>
          <w:b/>
          <w:sz w:val="24"/>
          <w:szCs w:val="24"/>
        </w:rPr>
      </w:pPr>
      <w:r>
        <w:rPr>
          <w:b/>
          <w:sz w:val="24"/>
          <w:szCs w:val="24"/>
        </w:rPr>
        <w:t>Sprendimo esmė</w:t>
      </w:r>
      <w:r>
        <w:rPr>
          <w:sz w:val="24"/>
          <w:szCs w:val="24"/>
        </w:rPr>
        <w:t xml:space="preserve">, </w:t>
      </w:r>
      <w:r>
        <w:rPr>
          <w:b/>
          <w:sz w:val="24"/>
          <w:szCs w:val="24"/>
        </w:rPr>
        <w:t xml:space="preserve">rengimo priežastys ir motyvai: </w:t>
      </w:r>
    </w:p>
    <w:p w:rsidR="004217CF" w:rsidRPr="00923916" w:rsidRDefault="00923916">
      <w:pPr>
        <w:suppressAutoHyphens/>
        <w:ind w:firstLine="567"/>
        <w:jc w:val="both"/>
        <w:rPr>
          <w:rFonts w:asciiTheme="majorHAnsi" w:hAnsiTheme="majorHAnsi" w:cstheme="majorHAnsi"/>
          <w:bCs/>
          <w:sz w:val="24"/>
          <w:szCs w:val="24"/>
        </w:rPr>
      </w:pPr>
      <w:r>
        <w:rPr>
          <w:sz w:val="24"/>
          <w:szCs w:val="24"/>
        </w:rPr>
        <w:t xml:space="preserve">Vadovaudamasis Lietuvos Respublikos vietos savivaldos įstatymo 16 straipsnio 4 dalimi, Lietuvos Respublikos savivaldybių infrastruktūros plėtros įstatymo 2 straipsnio 7 dalimi, 4 straipsnio 2 dalies 4 punktu, 14 straipsnio 4 dalimi, Savivaldybės infrastruktūros plėtros įmokos nustatymo metodika, patvirtinta Lietuvos Respublikos Vyriausybės 2020 m. gruodžio 30 d. nutarimu Nr. 1475 „Dėl Kompensacijos savivaldybių infrastruktūros plėtros iniciatoriams už jų patirtas išlaidas apskaičiavimo ir išmokėjimo tvarkos aprašo ir Savivaldybės infrastruktūros plėtros įmokos nustatymo metodikos patvirtinimo“, Kėdainių rajono savivaldybės administracijos direktorius – planavimo organizatorius – priėmė sprendimą </w:t>
      </w:r>
      <w:r>
        <w:rPr>
          <w:bCs/>
          <w:sz w:val="24"/>
          <w:szCs w:val="24"/>
        </w:rPr>
        <w:t>pasitvirtinti</w:t>
      </w:r>
      <w:r>
        <w:rPr>
          <w:sz w:val="24"/>
          <w:szCs w:val="24"/>
        </w:rPr>
        <w:t xml:space="preserve"> Kėdainių rajono savivaldybės teritorijos </w:t>
      </w:r>
      <w:r>
        <w:rPr>
          <w:bCs/>
          <w:sz w:val="24"/>
          <w:szCs w:val="24"/>
        </w:rPr>
        <w:t xml:space="preserve">  infrastruktūros plėtros tarifus, pagal kuriuos būtų apskaičiuojama infrastruktūros plėtros įmoka. Įmoka bus mokama norint gauti statybą leidžiantį dokumentą už naujai statomą arba rekonstruojamą pastatą, kuriame projektuojamas naujas plotas pagal statinio bendrąjį plotą ar rekonstruojamo statinio ploto padidėjimą, padauginus iš savivaldybės tarybos patvirtinto įmokos tarifo (T)</w:t>
      </w:r>
      <w:r>
        <w:rPr>
          <w:rStyle w:val="fontstyle01"/>
        </w:rPr>
        <w:t xml:space="preserve"> </w:t>
      </w:r>
      <w:r w:rsidRPr="00923916">
        <w:rPr>
          <w:rStyle w:val="fontstyle01"/>
          <w:rFonts w:asciiTheme="majorHAnsi" w:hAnsiTheme="majorHAnsi" w:cstheme="majorHAnsi"/>
        </w:rPr>
        <w:t xml:space="preserve">apskaičiuojamo pagal formulę (T = T1 + T2). </w:t>
      </w:r>
      <w:r w:rsidRPr="00923916">
        <w:rPr>
          <w:rFonts w:asciiTheme="majorHAnsi" w:hAnsiTheme="majorHAnsi" w:cstheme="majorHAnsi"/>
        </w:rPr>
        <w:t xml:space="preserve"> </w:t>
      </w:r>
    </w:p>
    <w:p w:rsidR="004217CF" w:rsidRPr="00923916" w:rsidRDefault="00923916">
      <w:pPr>
        <w:suppressAutoHyphens/>
        <w:ind w:firstLine="567"/>
        <w:jc w:val="both"/>
        <w:rPr>
          <w:rFonts w:asciiTheme="majorHAnsi" w:hAnsiTheme="majorHAnsi" w:cstheme="majorHAnsi"/>
          <w:bCs/>
          <w:sz w:val="24"/>
          <w:szCs w:val="24"/>
        </w:rPr>
      </w:pPr>
      <w:r w:rsidRPr="00923916">
        <w:rPr>
          <w:rFonts w:asciiTheme="majorHAnsi" w:hAnsiTheme="majorHAnsi" w:cstheme="majorHAnsi"/>
          <w:bCs/>
          <w:sz w:val="24"/>
          <w:szCs w:val="24"/>
        </w:rPr>
        <w:t>(T2) įmokos tarifas skirtas socialinės savivaldybės infrastruktūros plėtrai (</w:t>
      </w:r>
      <w:proofErr w:type="spellStart"/>
      <w:r w:rsidRPr="00923916">
        <w:rPr>
          <w:rFonts w:asciiTheme="majorHAnsi" w:hAnsiTheme="majorHAnsi" w:cstheme="majorHAnsi"/>
          <w:bCs/>
          <w:sz w:val="24"/>
          <w:szCs w:val="24"/>
        </w:rPr>
        <w:t>Eur</w:t>
      </w:r>
      <w:proofErr w:type="spellEnd"/>
      <w:r w:rsidRPr="00923916">
        <w:rPr>
          <w:rFonts w:asciiTheme="majorHAnsi" w:hAnsiTheme="majorHAnsi" w:cstheme="majorHAnsi"/>
          <w:bCs/>
          <w:sz w:val="24"/>
          <w:szCs w:val="24"/>
        </w:rPr>
        <w:t>/m2) Kėdainių rajono savivaldybės teritorijoje nustatomas lygus 0.</w:t>
      </w:r>
    </w:p>
    <w:p w:rsidR="004217CF" w:rsidRPr="00923916" w:rsidRDefault="00923916">
      <w:pPr>
        <w:suppressAutoHyphens/>
        <w:ind w:firstLine="567"/>
        <w:jc w:val="both"/>
        <w:rPr>
          <w:rFonts w:asciiTheme="majorHAnsi" w:hAnsiTheme="majorHAnsi" w:cstheme="majorHAnsi"/>
          <w:bCs/>
          <w:sz w:val="24"/>
          <w:szCs w:val="24"/>
        </w:rPr>
      </w:pPr>
      <w:r w:rsidRPr="00923916">
        <w:rPr>
          <w:rFonts w:asciiTheme="majorHAnsi" w:hAnsiTheme="majorHAnsi" w:cstheme="majorHAnsi"/>
          <w:bCs/>
          <w:sz w:val="24"/>
          <w:szCs w:val="24"/>
        </w:rPr>
        <w:t xml:space="preserve">(T1) įmokos tarifas skirtas inžinerinės savivaldybės infrastruktūros plėtrai </w:t>
      </w:r>
      <w:bookmarkStart w:id="3" w:name="_Hlk117001262"/>
      <w:bookmarkEnd w:id="3"/>
      <w:r w:rsidRPr="00923916">
        <w:rPr>
          <w:rFonts w:asciiTheme="majorHAnsi" w:hAnsiTheme="majorHAnsi" w:cstheme="majorHAnsi"/>
          <w:bCs/>
          <w:sz w:val="24"/>
          <w:szCs w:val="24"/>
        </w:rPr>
        <w:t>(</w:t>
      </w:r>
      <w:proofErr w:type="spellStart"/>
      <w:r w:rsidRPr="00923916">
        <w:rPr>
          <w:rFonts w:asciiTheme="majorHAnsi" w:hAnsiTheme="majorHAnsi" w:cstheme="majorHAnsi"/>
          <w:bCs/>
          <w:sz w:val="24"/>
          <w:szCs w:val="24"/>
        </w:rPr>
        <w:t>Eur</w:t>
      </w:r>
      <w:proofErr w:type="spellEnd"/>
      <w:r w:rsidRPr="00923916">
        <w:rPr>
          <w:rFonts w:asciiTheme="majorHAnsi" w:hAnsiTheme="majorHAnsi" w:cstheme="majorHAnsi"/>
          <w:bCs/>
          <w:sz w:val="24"/>
          <w:szCs w:val="24"/>
        </w:rPr>
        <w:t>/m2) yra apskaičiuojamas pagal formulę: (</w:t>
      </w:r>
      <w:r w:rsidRPr="00923916">
        <w:rPr>
          <w:rFonts w:asciiTheme="majorHAnsi" w:hAnsiTheme="majorHAnsi" w:cstheme="majorHAnsi"/>
          <w:sz w:val="24"/>
          <w:szCs w:val="24"/>
        </w:rPr>
        <w:t>T1= Į x D).</w:t>
      </w:r>
      <w:r w:rsidRPr="00923916">
        <w:rPr>
          <w:rFonts w:asciiTheme="majorHAnsi" w:hAnsiTheme="majorHAnsi" w:cstheme="majorHAnsi"/>
          <w:bCs/>
          <w:sz w:val="24"/>
          <w:szCs w:val="24"/>
        </w:rPr>
        <w:t xml:space="preserve"> </w:t>
      </w:r>
    </w:p>
    <w:p w:rsidR="004217CF" w:rsidRDefault="00923916">
      <w:pPr>
        <w:suppressAutoHyphens/>
        <w:ind w:firstLine="567"/>
        <w:jc w:val="both"/>
        <w:rPr>
          <w:bCs/>
          <w:sz w:val="24"/>
          <w:szCs w:val="24"/>
        </w:rPr>
      </w:pPr>
      <w:r w:rsidRPr="00923916">
        <w:rPr>
          <w:rFonts w:asciiTheme="majorHAnsi" w:hAnsiTheme="majorHAnsi" w:cstheme="majorHAnsi"/>
          <w:bCs/>
          <w:sz w:val="24"/>
          <w:szCs w:val="24"/>
        </w:rPr>
        <w:t xml:space="preserve">(Į) </w:t>
      </w:r>
      <w:r w:rsidRPr="00923916">
        <w:rPr>
          <w:rStyle w:val="fontstyle01"/>
          <w:rFonts w:asciiTheme="majorHAnsi" w:hAnsiTheme="majorHAnsi" w:cstheme="majorHAnsi"/>
        </w:rPr>
        <w:t>įkainis, pasirenkamas iš įkainių nustatymo schemos, pagal Funkcinės zonos numerį (</w:t>
      </w:r>
      <w:proofErr w:type="spellStart"/>
      <w:r w:rsidRPr="00923916">
        <w:rPr>
          <w:rStyle w:val="fontstyle01"/>
          <w:rFonts w:asciiTheme="majorHAnsi" w:hAnsiTheme="majorHAnsi" w:cstheme="majorHAnsi"/>
        </w:rPr>
        <w:t>Eur</w:t>
      </w:r>
      <w:proofErr w:type="spellEnd"/>
      <w:r w:rsidRPr="00923916">
        <w:rPr>
          <w:rStyle w:val="fontstyle01"/>
          <w:rFonts w:asciiTheme="majorHAnsi" w:hAnsiTheme="majorHAnsi" w:cstheme="majorHAnsi"/>
        </w:rPr>
        <w:t>) ir yra</w:t>
      </w:r>
      <w:r w:rsidRPr="00923916">
        <w:rPr>
          <w:rFonts w:asciiTheme="majorHAnsi" w:hAnsiTheme="majorHAnsi" w:cstheme="majorHAnsi"/>
        </w:rPr>
        <w:t xml:space="preserve"> </w:t>
      </w:r>
      <w:r w:rsidRPr="00923916">
        <w:rPr>
          <w:rFonts w:asciiTheme="majorHAnsi" w:hAnsiTheme="majorHAnsi" w:cstheme="majorHAnsi"/>
          <w:bCs/>
          <w:sz w:val="24"/>
          <w:szCs w:val="24"/>
        </w:rPr>
        <w:t>nustatytas pagal bendrųjų planų sprendinius, teritorijų paskirtis, urbanizuotų, urbanizuojamų teritorijų išvystymo galimybes, infrastruktūros išsivystymo lygį. Kėdainių</w:t>
      </w:r>
      <w:r>
        <w:rPr>
          <w:bCs/>
          <w:sz w:val="24"/>
          <w:szCs w:val="24"/>
        </w:rPr>
        <w:t xml:space="preserve"> rajono ir Kėdainių miesto teritorijos suskirstytos į prioritetines bei 4-rių skirtingų tarifų teritorijas (jos išvardintos tarybos sprendimo projekte ir yra pateikiamos Priede Nr.1). Parengtame tarifų teritorijų žemėlapyje spalvos  atitinka </w:t>
      </w:r>
      <w:proofErr w:type="spellStart"/>
      <w:r>
        <w:rPr>
          <w:bCs/>
          <w:sz w:val="24"/>
          <w:szCs w:val="24"/>
        </w:rPr>
        <w:t>diferiancijavimo</w:t>
      </w:r>
      <w:proofErr w:type="spellEnd"/>
      <w:r>
        <w:rPr>
          <w:bCs/>
          <w:sz w:val="24"/>
          <w:szCs w:val="24"/>
        </w:rPr>
        <w:t xml:space="preserve"> koeficientus.</w:t>
      </w:r>
    </w:p>
    <w:p w:rsidR="004217CF" w:rsidRDefault="00923916">
      <w:pPr>
        <w:suppressAutoHyphens/>
        <w:ind w:firstLine="567"/>
        <w:jc w:val="both"/>
        <w:rPr>
          <w:bCs/>
          <w:sz w:val="24"/>
          <w:szCs w:val="24"/>
        </w:rPr>
      </w:pPr>
      <w:r>
        <w:rPr>
          <w:bCs/>
          <w:sz w:val="24"/>
          <w:szCs w:val="24"/>
        </w:rPr>
        <w:t xml:space="preserve">(D) </w:t>
      </w:r>
      <w:proofErr w:type="spellStart"/>
      <w:r>
        <w:rPr>
          <w:bCs/>
          <w:sz w:val="24"/>
          <w:szCs w:val="24"/>
        </w:rPr>
        <w:t>diferenciavimo</w:t>
      </w:r>
      <w:proofErr w:type="spellEnd"/>
      <w:r>
        <w:rPr>
          <w:bCs/>
          <w:sz w:val="24"/>
          <w:szCs w:val="24"/>
        </w:rPr>
        <w:t xml:space="preserve"> koeficientai nustatyti atsižvelgiant į aplinkos ministro patvirtintą metodiką, gretimų savivaldybių patirtį ir viešų diskusijų metu iškeltus pasiūlymus. Diferencijavimo koeficientais numatomas tarifų mažinimas ar didinimas pagal statinių naudojimo paskirtį.</w:t>
      </w:r>
    </w:p>
    <w:p w:rsidR="004217CF" w:rsidRDefault="00923916">
      <w:pPr>
        <w:suppressAutoHyphens/>
        <w:ind w:firstLine="709"/>
        <w:jc w:val="both"/>
        <w:rPr>
          <w:bCs/>
          <w:sz w:val="24"/>
          <w:szCs w:val="24"/>
        </w:rPr>
      </w:pPr>
      <w:r>
        <w:rPr>
          <w:bCs/>
          <w:sz w:val="24"/>
          <w:szCs w:val="24"/>
        </w:rPr>
        <w:t>Infrastruktūros įmoka bus mokama iki prašymo išduoti statybą leidžiantį dokumentą.</w:t>
      </w:r>
    </w:p>
    <w:p w:rsidR="004217CF" w:rsidRDefault="004217CF">
      <w:pPr>
        <w:suppressAutoHyphens/>
        <w:ind w:firstLine="567"/>
        <w:jc w:val="both"/>
        <w:rPr>
          <w:bCs/>
          <w:iCs/>
          <w:szCs w:val="24"/>
        </w:rPr>
      </w:pPr>
    </w:p>
    <w:p w:rsidR="004217CF" w:rsidRDefault="00923916">
      <w:pPr>
        <w:pStyle w:val="Pagrindinistekstas"/>
        <w:tabs>
          <w:tab w:val="left" w:pos="720"/>
        </w:tabs>
        <w:suppressAutoHyphens/>
        <w:rPr>
          <w:b/>
          <w:szCs w:val="24"/>
        </w:rPr>
      </w:pPr>
      <w:r>
        <w:rPr>
          <w:b/>
          <w:szCs w:val="24"/>
        </w:rPr>
        <w:tab/>
        <w:t>Lėšų poreikis (jeigu sprendimui įgyvendinti reikalingos lėšos):</w:t>
      </w:r>
    </w:p>
    <w:p w:rsidR="004217CF" w:rsidRDefault="00923916">
      <w:pPr>
        <w:suppressAutoHyphens/>
        <w:ind w:firstLine="720"/>
        <w:jc w:val="both"/>
        <w:rPr>
          <w:sz w:val="24"/>
          <w:szCs w:val="24"/>
        </w:rPr>
      </w:pPr>
      <w:r>
        <w:rPr>
          <w:sz w:val="24"/>
          <w:szCs w:val="24"/>
        </w:rPr>
        <w:t xml:space="preserve">Už infrastruktūros įmokas pagal preliminarius </w:t>
      </w:r>
      <w:proofErr w:type="spellStart"/>
      <w:r>
        <w:rPr>
          <w:sz w:val="24"/>
          <w:szCs w:val="24"/>
        </w:rPr>
        <w:t>paskaičiavimus</w:t>
      </w:r>
      <w:proofErr w:type="spellEnd"/>
      <w:r>
        <w:rPr>
          <w:sz w:val="24"/>
          <w:szCs w:val="24"/>
        </w:rPr>
        <w:t xml:space="preserve"> per metus planuojama surinkti apie 250 tūkstančių eurų. Surinktos lėšos bus naudojamos infrastruktūros gerinimui ir kompensacijoms už įrengtą inžinierinę infrastruktūrą. </w:t>
      </w:r>
    </w:p>
    <w:p w:rsidR="004217CF" w:rsidRDefault="004217CF">
      <w:pPr>
        <w:suppressAutoHyphens/>
        <w:ind w:firstLine="720"/>
        <w:jc w:val="both"/>
        <w:rPr>
          <w:sz w:val="24"/>
          <w:szCs w:val="24"/>
        </w:rPr>
      </w:pPr>
    </w:p>
    <w:p w:rsidR="00923916" w:rsidRDefault="00923916">
      <w:pPr>
        <w:suppressAutoHyphens/>
        <w:ind w:firstLine="720"/>
        <w:jc w:val="both"/>
        <w:rPr>
          <w:sz w:val="24"/>
          <w:szCs w:val="24"/>
        </w:rPr>
      </w:pPr>
    </w:p>
    <w:p w:rsidR="00923916" w:rsidRDefault="00923916">
      <w:pPr>
        <w:suppressAutoHyphens/>
        <w:ind w:firstLine="720"/>
        <w:jc w:val="both"/>
        <w:rPr>
          <w:sz w:val="24"/>
          <w:szCs w:val="24"/>
        </w:rPr>
      </w:pPr>
    </w:p>
    <w:p w:rsidR="00923916" w:rsidRDefault="00923916">
      <w:pPr>
        <w:suppressAutoHyphens/>
        <w:ind w:firstLine="720"/>
        <w:jc w:val="both"/>
        <w:rPr>
          <w:sz w:val="24"/>
          <w:szCs w:val="24"/>
        </w:rPr>
      </w:pPr>
    </w:p>
    <w:p w:rsidR="004217CF" w:rsidRDefault="00923916">
      <w:pPr>
        <w:suppressAutoHyphens/>
        <w:ind w:firstLine="709"/>
        <w:rPr>
          <w:sz w:val="24"/>
          <w:szCs w:val="24"/>
        </w:rPr>
      </w:pPr>
      <w:r>
        <w:rPr>
          <w:b/>
          <w:sz w:val="24"/>
          <w:szCs w:val="24"/>
        </w:rPr>
        <w:t>Laukiami rezultatai:</w:t>
      </w:r>
      <w:r>
        <w:rPr>
          <w:sz w:val="24"/>
          <w:szCs w:val="24"/>
        </w:rPr>
        <w:t xml:space="preserve"> </w:t>
      </w:r>
    </w:p>
    <w:p w:rsidR="004217CF" w:rsidRDefault="00923916">
      <w:pPr>
        <w:suppressAutoHyphens/>
        <w:ind w:firstLine="720"/>
        <w:jc w:val="both"/>
        <w:rPr>
          <w:sz w:val="24"/>
          <w:szCs w:val="24"/>
        </w:rPr>
      </w:pPr>
      <w:r>
        <w:rPr>
          <w:sz w:val="24"/>
          <w:szCs w:val="24"/>
        </w:rPr>
        <w:t xml:space="preserve">Infrastruktūros plėtros įmokos tarifai yra privalomi valstybės ir savivaldybių institucijoms ir suteikia teisę joms veikti planuojant lėšas ir įrengiant savivaldybei reikalingą infrastruktūrą, naudojant surinktas lėšas bei pritaikant kompensacines priemones infrastruktūros </w:t>
      </w:r>
      <w:proofErr w:type="spellStart"/>
      <w:r>
        <w:rPr>
          <w:sz w:val="24"/>
          <w:szCs w:val="24"/>
        </w:rPr>
        <w:t>vystytojams</w:t>
      </w:r>
      <w:proofErr w:type="spellEnd"/>
      <w:r>
        <w:rPr>
          <w:sz w:val="24"/>
          <w:szCs w:val="24"/>
        </w:rPr>
        <w:t>.</w:t>
      </w:r>
    </w:p>
    <w:p w:rsidR="004217CF" w:rsidRDefault="004217CF">
      <w:pPr>
        <w:suppressAutoHyphens/>
        <w:rPr>
          <w:b/>
          <w:bCs/>
          <w:sz w:val="24"/>
          <w:szCs w:val="24"/>
        </w:rPr>
      </w:pPr>
    </w:p>
    <w:p w:rsidR="004217CF" w:rsidRDefault="00923916">
      <w:pPr>
        <w:suppressAutoHyphens/>
        <w:ind w:firstLine="680"/>
        <w:rPr>
          <w:b/>
          <w:bCs/>
          <w:sz w:val="24"/>
          <w:szCs w:val="24"/>
        </w:rPr>
      </w:pPr>
      <w:r>
        <w:rPr>
          <w:b/>
          <w:bCs/>
          <w:sz w:val="24"/>
          <w:szCs w:val="24"/>
        </w:rPr>
        <w:t>Numatomo teisinio reguliavimo poveikio vertinimas*</w:t>
      </w:r>
    </w:p>
    <w:tbl>
      <w:tblPr>
        <w:tblW w:w="9235" w:type="dxa"/>
        <w:tblInd w:w="392" w:type="dxa"/>
        <w:tblLook w:val="04A0" w:firstRow="1" w:lastRow="0" w:firstColumn="1" w:lastColumn="0" w:noHBand="0" w:noVBand="1"/>
      </w:tblPr>
      <w:tblGrid>
        <w:gridCol w:w="3086"/>
        <w:gridCol w:w="3075"/>
        <w:gridCol w:w="3074"/>
      </w:tblGrid>
      <w:tr w:rsidR="004217CF">
        <w:trPr>
          <w:trHeight w:val="285"/>
        </w:trPr>
        <w:tc>
          <w:tcPr>
            <w:tcW w:w="3086" w:type="dxa"/>
            <w:vMerge w:val="restart"/>
            <w:tcBorders>
              <w:top w:val="single" w:sz="4" w:space="0" w:color="000000"/>
              <w:left w:val="single" w:sz="4" w:space="0" w:color="000000"/>
              <w:bottom w:val="single" w:sz="4" w:space="0" w:color="000000"/>
              <w:right w:val="single" w:sz="4" w:space="0" w:color="000000"/>
            </w:tcBorders>
          </w:tcPr>
          <w:p w:rsidR="004217CF" w:rsidRDefault="00923916">
            <w:pPr>
              <w:rPr>
                <w:b/>
                <w:sz w:val="24"/>
                <w:szCs w:val="24"/>
                <w:lang w:bidi="lo-LA"/>
              </w:rPr>
            </w:pPr>
            <w:r>
              <w:rPr>
                <w:b/>
                <w:sz w:val="24"/>
                <w:szCs w:val="24"/>
              </w:rPr>
              <w:t>Sritys</w:t>
            </w:r>
          </w:p>
        </w:tc>
        <w:tc>
          <w:tcPr>
            <w:tcW w:w="6149" w:type="dxa"/>
            <w:gridSpan w:val="2"/>
            <w:tcBorders>
              <w:top w:val="single" w:sz="4" w:space="0" w:color="000000"/>
              <w:left w:val="single" w:sz="4" w:space="0" w:color="000000"/>
              <w:bottom w:val="single" w:sz="4" w:space="0" w:color="000000"/>
              <w:right w:val="single" w:sz="4" w:space="0" w:color="000000"/>
            </w:tcBorders>
          </w:tcPr>
          <w:p w:rsidR="004217CF" w:rsidRDefault="00923916">
            <w:pPr>
              <w:rPr>
                <w:b/>
                <w:bCs/>
                <w:sz w:val="24"/>
                <w:szCs w:val="24"/>
              </w:rPr>
            </w:pPr>
            <w:r>
              <w:rPr>
                <w:b/>
                <w:bCs/>
                <w:sz w:val="24"/>
                <w:szCs w:val="24"/>
              </w:rPr>
              <w:t>Numatomo teisinio reguliavimo poveikio vertinimo rezultatai</w:t>
            </w:r>
          </w:p>
        </w:tc>
      </w:tr>
      <w:tr w:rsidR="004217CF">
        <w:trPr>
          <w:trHeight w:val="540"/>
        </w:trPr>
        <w:tc>
          <w:tcPr>
            <w:tcW w:w="3086" w:type="dxa"/>
            <w:vMerge/>
            <w:tcBorders>
              <w:top w:val="single" w:sz="4" w:space="0" w:color="000000"/>
              <w:left w:val="single" w:sz="4" w:space="0" w:color="000000"/>
              <w:bottom w:val="single" w:sz="4" w:space="0" w:color="000000"/>
              <w:right w:val="single" w:sz="4" w:space="0" w:color="000000"/>
            </w:tcBorders>
            <w:vAlign w:val="center"/>
          </w:tcPr>
          <w:p w:rsidR="004217CF" w:rsidRDefault="004217CF">
            <w:pPr>
              <w:suppressAutoHyphens/>
            </w:pPr>
          </w:p>
        </w:tc>
        <w:tc>
          <w:tcPr>
            <w:tcW w:w="3075" w:type="dxa"/>
            <w:tcBorders>
              <w:top w:val="single" w:sz="4" w:space="0" w:color="000000"/>
              <w:left w:val="single" w:sz="4" w:space="0" w:color="000000"/>
              <w:bottom w:val="single" w:sz="4" w:space="0" w:color="000000"/>
              <w:right w:val="single" w:sz="4" w:space="0" w:color="000000"/>
            </w:tcBorders>
          </w:tcPr>
          <w:p w:rsidR="004217CF" w:rsidRDefault="00923916">
            <w:pPr>
              <w:rPr>
                <w:b/>
                <w:sz w:val="24"/>
                <w:szCs w:val="24"/>
              </w:rPr>
            </w:pPr>
            <w:r>
              <w:rPr>
                <w:b/>
                <w:sz w:val="24"/>
                <w:szCs w:val="24"/>
              </w:rPr>
              <w:t>Teigiamas poveikis</w:t>
            </w:r>
          </w:p>
        </w:tc>
        <w:tc>
          <w:tcPr>
            <w:tcW w:w="3074" w:type="dxa"/>
            <w:tcBorders>
              <w:top w:val="single" w:sz="4" w:space="0" w:color="000000"/>
              <w:left w:val="single" w:sz="4" w:space="0" w:color="000000"/>
              <w:bottom w:val="single" w:sz="4" w:space="0" w:color="000000"/>
              <w:right w:val="single" w:sz="4" w:space="0" w:color="000000"/>
            </w:tcBorders>
          </w:tcPr>
          <w:p w:rsidR="004217CF" w:rsidRDefault="00923916">
            <w:pPr>
              <w:rPr>
                <w:rFonts w:eastAsia="Calibri"/>
                <w:b/>
                <w:sz w:val="24"/>
                <w:szCs w:val="24"/>
                <w:lang w:bidi="lo-LA"/>
              </w:rPr>
            </w:pPr>
            <w:r>
              <w:rPr>
                <w:b/>
                <w:sz w:val="24"/>
                <w:szCs w:val="24"/>
              </w:rPr>
              <w:t>Neigiamas poveikis</w:t>
            </w:r>
          </w:p>
          <w:p w:rsidR="004217CF" w:rsidRDefault="004217CF">
            <w:pPr>
              <w:rPr>
                <w:b/>
                <w:i/>
                <w:sz w:val="24"/>
                <w:szCs w:val="24"/>
              </w:rPr>
            </w:pPr>
          </w:p>
        </w:tc>
      </w:tr>
      <w:tr w:rsidR="004217CF">
        <w:tc>
          <w:tcPr>
            <w:tcW w:w="3086" w:type="dxa"/>
            <w:tcBorders>
              <w:top w:val="single" w:sz="4" w:space="0" w:color="000000"/>
              <w:left w:val="single" w:sz="4" w:space="0" w:color="000000"/>
              <w:bottom w:val="single" w:sz="4" w:space="0" w:color="000000"/>
              <w:right w:val="single" w:sz="4" w:space="0" w:color="000000"/>
            </w:tcBorders>
          </w:tcPr>
          <w:p w:rsidR="004217CF" w:rsidRDefault="00923916">
            <w:pPr>
              <w:rPr>
                <w:i/>
                <w:sz w:val="24"/>
                <w:szCs w:val="24"/>
                <w:lang w:bidi="lo-LA"/>
              </w:rPr>
            </w:pPr>
            <w:r>
              <w:rPr>
                <w:i/>
                <w:sz w:val="24"/>
                <w:szCs w:val="24"/>
              </w:rPr>
              <w:t>Ekonomikai</w:t>
            </w:r>
          </w:p>
        </w:tc>
        <w:tc>
          <w:tcPr>
            <w:tcW w:w="3075"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r>
      <w:tr w:rsidR="004217CF">
        <w:tc>
          <w:tcPr>
            <w:tcW w:w="3086" w:type="dxa"/>
            <w:tcBorders>
              <w:top w:val="single" w:sz="4" w:space="0" w:color="000000"/>
              <w:left w:val="single" w:sz="4" w:space="0" w:color="000000"/>
              <w:bottom w:val="single" w:sz="4" w:space="0" w:color="000000"/>
              <w:right w:val="single" w:sz="4" w:space="0" w:color="000000"/>
            </w:tcBorders>
          </w:tcPr>
          <w:p w:rsidR="004217CF" w:rsidRDefault="00923916">
            <w:pPr>
              <w:rPr>
                <w:i/>
                <w:sz w:val="24"/>
                <w:szCs w:val="24"/>
                <w:lang w:bidi="lo-LA"/>
              </w:rPr>
            </w:pPr>
            <w:r>
              <w:rPr>
                <w:i/>
                <w:sz w:val="24"/>
                <w:szCs w:val="24"/>
              </w:rPr>
              <w:t>Finansams</w:t>
            </w:r>
          </w:p>
        </w:tc>
        <w:tc>
          <w:tcPr>
            <w:tcW w:w="3075"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r>
      <w:tr w:rsidR="004217CF">
        <w:tc>
          <w:tcPr>
            <w:tcW w:w="3086" w:type="dxa"/>
            <w:tcBorders>
              <w:top w:val="single" w:sz="4" w:space="0" w:color="000000"/>
              <w:left w:val="single" w:sz="4" w:space="0" w:color="000000"/>
              <w:bottom w:val="single" w:sz="4" w:space="0" w:color="000000"/>
              <w:right w:val="single" w:sz="4" w:space="0" w:color="000000"/>
            </w:tcBorders>
          </w:tcPr>
          <w:p w:rsidR="004217CF" w:rsidRDefault="00923916">
            <w:pPr>
              <w:rPr>
                <w:i/>
                <w:sz w:val="24"/>
                <w:szCs w:val="24"/>
                <w:lang w:bidi="lo-LA"/>
              </w:rPr>
            </w:pPr>
            <w:r>
              <w:rPr>
                <w:i/>
                <w:sz w:val="24"/>
                <w:szCs w:val="24"/>
              </w:rPr>
              <w:t>Socialinei aplinkai</w:t>
            </w:r>
          </w:p>
        </w:tc>
        <w:tc>
          <w:tcPr>
            <w:tcW w:w="3075"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r>
      <w:tr w:rsidR="004217CF">
        <w:tc>
          <w:tcPr>
            <w:tcW w:w="3086" w:type="dxa"/>
            <w:tcBorders>
              <w:top w:val="single" w:sz="4" w:space="0" w:color="000000"/>
              <w:left w:val="single" w:sz="4" w:space="0" w:color="000000"/>
              <w:bottom w:val="single" w:sz="4" w:space="0" w:color="000000"/>
              <w:right w:val="single" w:sz="4" w:space="0" w:color="000000"/>
            </w:tcBorders>
          </w:tcPr>
          <w:p w:rsidR="004217CF" w:rsidRDefault="00923916">
            <w:pPr>
              <w:rPr>
                <w:i/>
                <w:sz w:val="24"/>
                <w:szCs w:val="24"/>
                <w:lang w:bidi="lo-LA"/>
              </w:rPr>
            </w:pPr>
            <w:r>
              <w:rPr>
                <w:i/>
                <w:sz w:val="24"/>
                <w:szCs w:val="24"/>
              </w:rPr>
              <w:t>Viešajam administravimui</w:t>
            </w:r>
          </w:p>
        </w:tc>
        <w:tc>
          <w:tcPr>
            <w:tcW w:w="3075"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r>
      <w:tr w:rsidR="004217CF">
        <w:tc>
          <w:tcPr>
            <w:tcW w:w="3086" w:type="dxa"/>
            <w:tcBorders>
              <w:top w:val="single" w:sz="4" w:space="0" w:color="000000"/>
              <w:left w:val="single" w:sz="4" w:space="0" w:color="000000"/>
              <w:bottom w:val="single" w:sz="4" w:space="0" w:color="000000"/>
              <w:right w:val="single" w:sz="4" w:space="0" w:color="000000"/>
            </w:tcBorders>
          </w:tcPr>
          <w:p w:rsidR="004217CF" w:rsidRDefault="00923916">
            <w:pPr>
              <w:rPr>
                <w:i/>
                <w:sz w:val="24"/>
                <w:szCs w:val="24"/>
                <w:lang w:bidi="lo-LA"/>
              </w:rPr>
            </w:pPr>
            <w:r>
              <w:rPr>
                <w:i/>
                <w:sz w:val="24"/>
                <w:szCs w:val="24"/>
              </w:rPr>
              <w:t>Teisinei sistemai</w:t>
            </w:r>
          </w:p>
        </w:tc>
        <w:tc>
          <w:tcPr>
            <w:tcW w:w="3075"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r>
      <w:tr w:rsidR="004217CF">
        <w:tc>
          <w:tcPr>
            <w:tcW w:w="3086" w:type="dxa"/>
            <w:tcBorders>
              <w:top w:val="single" w:sz="4" w:space="0" w:color="000000"/>
              <w:left w:val="single" w:sz="4" w:space="0" w:color="000000"/>
              <w:bottom w:val="single" w:sz="4" w:space="0" w:color="000000"/>
              <w:right w:val="single" w:sz="4" w:space="0" w:color="000000"/>
            </w:tcBorders>
          </w:tcPr>
          <w:p w:rsidR="004217CF" w:rsidRDefault="00923916">
            <w:pPr>
              <w:rPr>
                <w:i/>
                <w:sz w:val="24"/>
                <w:szCs w:val="24"/>
                <w:lang w:bidi="lo-LA"/>
              </w:rPr>
            </w:pPr>
            <w:r>
              <w:rPr>
                <w:i/>
                <w:sz w:val="24"/>
                <w:szCs w:val="24"/>
              </w:rPr>
              <w:t>Kriminogeninei situacijai</w:t>
            </w:r>
          </w:p>
        </w:tc>
        <w:tc>
          <w:tcPr>
            <w:tcW w:w="3075"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r>
      <w:tr w:rsidR="004217CF">
        <w:tc>
          <w:tcPr>
            <w:tcW w:w="3086" w:type="dxa"/>
            <w:tcBorders>
              <w:top w:val="single" w:sz="4" w:space="0" w:color="000000"/>
              <w:left w:val="single" w:sz="4" w:space="0" w:color="000000"/>
              <w:bottom w:val="single" w:sz="4" w:space="0" w:color="000000"/>
              <w:right w:val="single" w:sz="4" w:space="0" w:color="000000"/>
            </w:tcBorders>
          </w:tcPr>
          <w:p w:rsidR="004217CF" w:rsidRDefault="00923916">
            <w:pPr>
              <w:rPr>
                <w:i/>
                <w:sz w:val="24"/>
                <w:szCs w:val="24"/>
                <w:lang w:bidi="lo-LA"/>
              </w:rPr>
            </w:pPr>
            <w:r>
              <w:rPr>
                <w:i/>
                <w:sz w:val="24"/>
                <w:szCs w:val="24"/>
              </w:rPr>
              <w:t>Aplinkai</w:t>
            </w:r>
          </w:p>
        </w:tc>
        <w:tc>
          <w:tcPr>
            <w:tcW w:w="3075"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r>
      <w:tr w:rsidR="004217CF">
        <w:tc>
          <w:tcPr>
            <w:tcW w:w="3086" w:type="dxa"/>
            <w:tcBorders>
              <w:top w:val="single" w:sz="4" w:space="0" w:color="000000"/>
              <w:left w:val="single" w:sz="4" w:space="0" w:color="000000"/>
              <w:bottom w:val="single" w:sz="4" w:space="0" w:color="000000"/>
              <w:right w:val="single" w:sz="4" w:space="0" w:color="000000"/>
            </w:tcBorders>
          </w:tcPr>
          <w:p w:rsidR="004217CF" w:rsidRDefault="00923916">
            <w:pPr>
              <w:rPr>
                <w:i/>
                <w:sz w:val="24"/>
                <w:szCs w:val="24"/>
                <w:lang w:bidi="lo-LA"/>
              </w:rPr>
            </w:pPr>
            <w:r>
              <w:rPr>
                <w:i/>
                <w:sz w:val="24"/>
                <w:szCs w:val="24"/>
              </w:rPr>
              <w:t>Administracinei naštai</w:t>
            </w:r>
          </w:p>
        </w:tc>
        <w:tc>
          <w:tcPr>
            <w:tcW w:w="3075"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r>
      <w:tr w:rsidR="004217CF">
        <w:tc>
          <w:tcPr>
            <w:tcW w:w="3086" w:type="dxa"/>
            <w:tcBorders>
              <w:top w:val="single" w:sz="4" w:space="0" w:color="000000"/>
              <w:left w:val="single" w:sz="4" w:space="0" w:color="000000"/>
              <w:bottom w:val="single" w:sz="4" w:space="0" w:color="000000"/>
              <w:right w:val="single" w:sz="4" w:space="0" w:color="000000"/>
            </w:tcBorders>
          </w:tcPr>
          <w:p w:rsidR="004217CF" w:rsidRDefault="00923916">
            <w:pPr>
              <w:rPr>
                <w:i/>
                <w:sz w:val="24"/>
                <w:szCs w:val="24"/>
                <w:lang w:bidi="lo-LA"/>
              </w:rPr>
            </w:pPr>
            <w:r>
              <w:rPr>
                <w:i/>
                <w:sz w:val="24"/>
                <w:szCs w:val="24"/>
              </w:rPr>
              <w:t>Regiono plėtrai</w:t>
            </w:r>
          </w:p>
        </w:tc>
        <w:tc>
          <w:tcPr>
            <w:tcW w:w="3075"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r>
      <w:tr w:rsidR="004217CF">
        <w:tc>
          <w:tcPr>
            <w:tcW w:w="3086" w:type="dxa"/>
            <w:tcBorders>
              <w:top w:val="single" w:sz="4" w:space="0" w:color="000000"/>
              <w:left w:val="single" w:sz="4" w:space="0" w:color="000000"/>
              <w:bottom w:val="single" w:sz="4" w:space="0" w:color="000000"/>
              <w:right w:val="single" w:sz="4" w:space="0" w:color="000000"/>
            </w:tcBorders>
          </w:tcPr>
          <w:p w:rsidR="004217CF" w:rsidRDefault="00923916">
            <w:pPr>
              <w:rPr>
                <w:i/>
                <w:sz w:val="24"/>
                <w:szCs w:val="24"/>
                <w:lang w:bidi="lo-LA"/>
              </w:rPr>
            </w:pPr>
            <w:r>
              <w:rPr>
                <w:i/>
                <w:sz w:val="24"/>
                <w:szCs w:val="24"/>
              </w:rPr>
              <w:t>Kitoms sritims, asmenims ar jų grupėms</w:t>
            </w:r>
          </w:p>
        </w:tc>
        <w:tc>
          <w:tcPr>
            <w:tcW w:w="3075"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c>
          <w:tcPr>
            <w:tcW w:w="3074" w:type="dxa"/>
            <w:tcBorders>
              <w:top w:val="single" w:sz="4" w:space="0" w:color="000000"/>
              <w:left w:val="single" w:sz="4" w:space="0" w:color="000000"/>
              <w:bottom w:val="single" w:sz="4" w:space="0" w:color="000000"/>
              <w:right w:val="single" w:sz="4" w:space="0" w:color="000000"/>
            </w:tcBorders>
          </w:tcPr>
          <w:p w:rsidR="004217CF" w:rsidRDefault="004217CF">
            <w:pPr>
              <w:rPr>
                <w:i/>
                <w:sz w:val="24"/>
                <w:szCs w:val="24"/>
                <w:lang w:bidi="lo-LA"/>
              </w:rPr>
            </w:pPr>
          </w:p>
        </w:tc>
      </w:tr>
    </w:tbl>
    <w:p w:rsidR="004217CF" w:rsidRDefault="004217CF">
      <w:pPr>
        <w:suppressAutoHyphens/>
        <w:jc w:val="both"/>
        <w:rPr>
          <w:lang w:bidi="lo-LA"/>
        </w:rPr>
      </w:pPr>
    </w:p>
    <w:p w:rsidR="004217CF" w:rsidRDefault="00923916">
      <w:pPr>
        <w:suppressAutoHyphens/>
        <w:jc w:val="both"/>
        <w:rPr>
          <w:lang w:bidi="lo-LA"/>
        </w:rPr>
      </w:pPr>
      <w:r>
        <w:rPr>
          <w:b/>
          <w:lang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bidi="lo-LA"/>
        </w:rPr>
        <w:t xml:space="preserve"> </w:t>
      </w:r>
      <w:r>
        <w:t>Atliekant vertinimą, nustatomas galimas teigiamas ir neigiamas poveikis to teisinio reguliavimo sričiai, asmenims ar jų grupėms, kuriems bus taikomas numatomas teisinis reguliavimas.</w:t>
      </w:r>
    </w:p>
    <w:p w:rsidR="004217CF" w:rsidRDefault="004217CF">
      <w:pPr>
        <w:suppressAutoHyphens/>
      </w:pPr>
    </w:p>
    <w:p w:rsidR="004217CF" w:rsidRDefault="004217CF">
      <w:pPr>
        <w:suppressAutoHyphens/>
      </w:pPr>
    </w:p>
    <w:p w:rsidR="004217CF" w:rsidRDefault="004217CF">
      <w:pPr>
        <w:suppressAutoHyphens/>
      </w:pPr>
    </w:p>
    <w:p w:rsidR="004217CF" w:rsidRDefault="004217CF">
      <w:pPr>
        <w:suppressAutoHyphens/>
        <w:rPr>
          <w:sz w:val="24"/>
          <w:szCs w:val="24"/>
        </w:rPr>
      </w:pPr>
    </w:p>
    <w:p w:rsidR="004217CF" w:rsidRDefault="004217CF">
      <w:pPr>
        <w:suppressAutoHyphens/>
        <w:rPr>
          <w:sz w:val="24"/>
          <w:szCs w:val="24"/>
        </w:rPr>
      </w:pPr>
    </w:p>
    <w:p w:rsidR="004217CF" w:rsidRDefault="00923916">
      <w:pPr>
        <w:suppressAutoHyphens/>
        <w:rPr>
          <w:sz w:val="24"/>
          <w:szCs w:val="24"/>
        </w:rPr>
      </w:pPr>
      <w:r>
        <w:rPr>
          <w:sz w:val="24"/>
          <w:szCs w:val="24"/>
        </w:rPr>
        <w:t xml:space="preserve">Architektūros ir urbanistikos </w:t>
      </w:r>
    </w:p>
    <w:p w:rsidR="004217CF" w:rsidRDefault="00923916">
      <w:pPr>
        <w:suppressAutoHyphens/>
        <w:rPr>
          <w:sz w:val="24"/>
          <w:szCs w:val="24"/>
        </w:rPr>
      </w:pPr>
      <w:r>
        <w:rPr>
          <w:sz w:val="24"/>
          <w:szCs w:val="24"/>
        </w:rPr>
        <w:t>skyriaus vyr. specialistas</w:t>
      </w:r>
      <w:r>
        <w:rPr>
          <w:sz w:val="24"/>
          <w:szCs w:val="24"/>
        </w:rPr>
        <w:tab/>
      </w:r>
      <w:r>
        <w:rPr>
          <w:sz w:val="24"/>
          <w:szCs w:val="24"/>
        </w:rPr>
        <w:tab/>
      </w:r>
      <w:r>
        <w:rPr>
          <w:sz w:val="24"/>
          <w:szCs w:val="24"/>
        </w:rPr>
        <w:tab/>
        <w:t xml:space="preserve">                   </w:t>
      </w:r>
      <w:r w:rsidR="008B39AF">
        <w:rPr>
          <w:sz w:val="24"/>
          <w:szCs w:val="24"/>
        </w:rPr>
        <w:tab/>
      </w:r>
      <w:r w:rsidR="008B39AF">
        <w:rPr>
          <w:sz w:val="24"/>
          <w:szCs w:val="24"/>
        </w:rPr>
        <w:tab/>
      </w:r>
      <w:r w:rsidR="008B39AF">
        <w:rPr>
          <w:sz w:val="24"/>
          <w:szCs w:val="24"/>
        </w:rPr>
        <w:tab/>
      </w:r>
      <w:r>
        <w:rPr>
          <w:sz w:val="24"/>
          <w:szCs w:val="24"/>
        </w:rPr>
        <w:t xml:space="preserve"> Vaidas </w:t>
      </w:r>
      <w:proofErr w:type="spellStart"/>
      <w:r>
        <w:rPr>
          <w:sz w:val="24"/>
          <w:szCs w:val="24"/>
        </w:rPr>
        <w:t>Špečkauskas</w:t>
      </w:r>
      <w:proofErr w:type="spellEnd"/>
    </w:p>
    <w:p w:rsidR="004217CF" w:rsidRDefault="004217CF">
      <w:pPr>
        <w:suppressAutoHyphens/>
        <w:rPr>
          <w:sz w:val="24"/>
          <w:szCs w:val="24"/>
        </w:rPr>
      </w:pPr>
    </w:p>
    <w:p w:rsidR="004217CF" w:rsidRDefault="004217CF">
      <w:pPr>
        <w:suppressAutoHyphens/>
        <w:rPr>
          <w:sz w:val="24"/>
          <w:szCs w:val="24"/>
        </w:rPr>
      </w:pPr>
    </w:p>
    <w:p w:rsidR="004217CF" w:rsidRDefault="004217CF">
      <w:pPr>
        <w:suppressAutoHyphens/>
        <w:rPr>
          <w:sz w:val="24"/>
          <w:szCs w:val="24"/>
        </w:rPr>
      </w:pPr>
    </w:p>
    <w:p w:rsidR="004217CF" w:rsidRDefault="004217CF">
      <w:pPr>
        <w:widowControl w:val="0"/>
        <w:suppressAutoHyphens/>
      </w:pPr>
    </w:p>
    <w:sectPr w:rsidR="004217CF" w:rsidSect="008B39AF">
      <w:endnotePr>
        <w:numFmt w:val="decimal"/>
      </w:endnotePr>
      <w:pgSz w:w="11906" w:h="16838"/>
      <w:pgMar w:top="1134" w:right="567" w:bottom="1134" w:left="1701" w:header="0" w:footer="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F4D89"/>
    <w:multiLevelType w:val="hybridMultilevel"/>
    <w:tmpl w:val="68A85CD4"/>
    <w:name w:val="WW8Num4"/>
    <w:lvl w:ilvl="0" w:tplc="8B941B5C">
      <w:start w:val="4"/>
      <w:numFmt w:val="decimal"/>
      <w:lvlText w:val="%1."/>
      <w:lvlJc w:val="left"/>
      <w:pPr>
        <w:ind w:left="0" w:firstLine="0"/>
      </w:pPr>
    </w:lvl>
    <w:lvl w:ilvl="1" w:tplc="07D25836">
      <w:start w:val="1"/>
      <w:numFmt w:val="decimal"/>
      <w:lvlText w:val="%2."/>
      <w:lvlJc w:val="left"/>
      <w:pPr>
        <w:ind w:left="0" w:firstLine="0"/>
      </w:pPr>
    </w:lvl>
    <w:lvl w:ilvl="2" w:tplc="868873CA">
      <w:start w:val="1"/>
      <w:numFmt w:val="decimal"/>
      <w:lvlText w:val="%3."/>
      <w:lvlJc w:val="left"/>
      <w:pPr>
        <w:ind w:left="0" w:firstLine="0"/>
      </w:pPr>
    </w:lvl>
    <w:lvl w:ilvl="3" w:tplc="82E4CA50">
      <w:start w:val="1"/>
      <w:numFmt w:val="decimal"/>
      <w:lvlText w:val="%4."/>
      <w:lvlJc w:val="left"/>
      <w:pPr>
        <w:ind w:left="0" w:firstLine="0"/>
      </w:pPr>
    </w:lvl>
    <w:lvl w:ilvl="4" w:tplc="FA28611A">
      <w:start w:val="1"/>
      <w:numFmt w:val="decimal"/>
      <w:lvlText w:val="%5."/>
      <w:lvlJc w:val="left"/>
      <w:pPr>
        <w:ind w:left="0" w:firstLine="0"/>
      </w:pPr>
    </w:lvl>
    <w:lvl w:ilvl="5" w:tplc="B94C27C4">
      <w:start w:val="1"/>
      <w:numFmt w:val="decimal"/>
      <w:lvlText w:val="%6."/>
      <w:lvlJc w:val="left"/>
      <w:pPr>
        <w:ind w:left="0" w:firstLine="0"/>
      </w:pPr>
    </w:lvl>
    <w:lvl w:ilvl="6" w:tplc="1742BAF8">
      <w:start w:val="1"/>
      <w:numFmt w:val="decimal"/>
      <w:lvlText w:val="%7."/>
      <w:lvlJc w:val="left"/>
      <w:pPr>
        <w:ind w:left="0" w:firstLine="0"/>
      </w:pPr>
    </w:lvl>
    <w:lvl w:ilvl="7" w:tplc="75965A1A">
      <w:start w:val="1"/>
      <w:numFmt w:val="decimal"/>
      <w:lvlText w:val="%8."/>
      <w:lvlJc w:val="left"/>
      <w:pPr>
        <w:ind w:left="0" w:firstLine="0"/>
      </w:pPr>
    </w:lvl>
    <w:lvl w:ilvl="8" w:tplc="005C2A6A">
      <w:start w:val="1"/>
      <w:numFmt w:val="decimal"/>
      <w:lvlText w:val="%9."/>
      <w:lvlJc w:val="left"/>
      <w:pPr>
        <w:ind w:left="0" w:firstLine="0"/>
      </w:pPr>
    </w:lvl>
  </w:abstractNum>
  <w:abstractNum w:abstractNumId="1" w15:restartNumberingAfterBreak="0">
    <w:nsid w:val="0F1428B5"/>
    <w:multiLevelType w:val="hybridMultilevel"/>
    <w:tmpl w:val="B712DC28"/>
    <w:name w:val="WW8Num2"/>
    <w:lvl w:ilvl="0" w:tplc="6D608CB4">
      <w:start w:val="2"/>
      <w:numFmt w:val="decimal"/>
      <w:lvlText w:val="%1."/>
      <w:lvlJc w:val="left"/>
      <w:pPr>
        <w:ind w:left="0" w:firstLine="0"/>
      </w:pPr>
    </w:lvl>
    <w:lvl w:ilvl="1" w:tplc="6B0AB98A">
      <w:start w:val="1"/>
      <w:numFmt w:val="decimal"/>
      <w:lvlText w:val="%2."/>
      <w:lvlJc w:val="left"/>
      <w:pPr>
        <w:ind w:left="0" w:firstLine="0"/>
      </w:pPr>
    </w:lvl>
    <w:lvl w:ilvl="2" w:tplc="8B522F6A">
      <w:start w:val="1"/>
      <w:numFmt w:val="decimal"/>
      <w:lvlText w:val="%3."/>
      <w:lvlJc w:val="left"/>
      <w:pPr>
        <w:ind w:left="0" w:firstLine="0"/>
      </w:pPr>
    </w:lvl>
    <w:lvl w:ilvl="3" w:tplc="39EEC62E">
      <w:start w:val="1"/>
      <w:numFmt w:val="decimal"/>
      <w:lvlText w:val="%4."/>
      <w:lvlJc w:val="left"/>
      <w:pPr>
        <w:ind w:left="0" w:firstLine="0"/>
      </w:pPr>
    </w:lvl>
    <w:lvl w:ilvl="4" w:tplc="4D74B3C0">
      <w:start w:val="1"/>
      <w:numFmt w:val="decimal"/>
      <w:lvlText w:val="%5."/>
      <w:lvlJc w:val="left"/>
      <w:pPr>
        <w:ind w:left="0" w:firstLine="0"/>
      </w:pPr>
    </w:lvl>
    <w:lvl w:ilvl="5" w:tplc="5884400A">
      <w:start w:val="1"/>
      <w:numFmt w:val="decimal"/>
      <w:lvlText w:val="%6."/>
      <w:lvlJc w:val="left"/>
      <w:pPr>
        <w:ind w:left="0" w:firstLine="0"/>
      </w:pPr>
    </w:lvl>
    <w:lvl w:ilvl="6" w:tplc="45203182">
      <w:start w:val="1"/>
      <w:numFmt w:val="decimal"/>
      <w:lvlText w:val="%7."/>
      <w:lvlJc w:val="left"/>
      <w:pPr>
        <w:ind w:left="0" w:firstLine="0"/>
      </w:pPr>
    </w:lvl>
    <w:lvl w:ilvl="7" w:tplc="B6660ADA">
      <w:start w:val="1"/>
      <w:numFmt w:val="decimal"/>
      <w:lvlText w:val="%8."/>
      <w:lvlJc w:val="left"/>
      <w:pPr>
        <w:ind w:left="0" w:firstLine="0"/>
      </w:pPr>
    </w:lvl>
    <w:lvl w:ilvl="8" w:tplc="C0CE10B2">
      <w:start w:val="1"/>
      <w:numFmt w:val="decimal"/>
      <w:lvlText w:val="%9."/>
      <w:lvlJc w:val="left"/>
      <w:pPr>
        <w:ind w:left="0" w:firstLine="0"/>
      </w:pPr>
    </w:lvl>
  </w:abstractNum>
  <w:abstractNum w:abstractNumId="2" w15:restartNumberingAfterBreak="0">
    <w:nsid w:val="186463B8"/>
    <w:multiLevelType w:val="hybridMultilevel"/>
    <w:tmpl w:val="A8A8A274"/>
    <w:lvl w:ilvl="0" w:tplc="AA6A1A02">
      <w:numFmt w:val="none"/>
      <w:lvlText w:val=""/>
      <w:lvlJc w:val="left"/>
      <w:pPr>
        <w:tabs>
          <w:tab w:val="num" w:pos="360"/>
        </w:tabs>
        <w:ind w:left="360" w:hanging="360"/>
      </w:pPr>
    </w:lvl>
    <w:lvl w:ilvl="1" w:tplc="00BEF39C">
      <w:numFmt w:val="none"/>
      <w:lvlText w:val=""/>
      <w:lvlJc w:val="left"/>
      <w:pPr>
        <w:tabs>
          <w:tab w:val="num" w:pos="360"/>
        </w:tabs>
        <w:ind w:left="360" w:hanging="360"/>
      </w:pPr>
    </w:lvl>
    <w:lvl w:ilvl="2" w:tplc="5504DF00">
      <w:numFmt w:val="none"/>
      <w:lvlText w:val=""/>
      <w:lvlJc w:val="left"/>
      <w:pPr>
        <w:tabs>
          <w:tab w:val="num" w:pos="360"/>
        </w:tabs>
        <w:ind w:left="360" w:hanging="360"/>
      </w:pPr>
    </w:lvl>
    <w:lvl w:ilvl="3" w:tplc="8FFE8EFC">
      <w:numFmt w:val="none"/>
      <w:lvlText w:val=""/>
      <w:lvlJc w:val="left"/>
      <w:pPr>
        <w:tabs>
          <w:tab w:val="num" w:pos="360"/>
        </w:tabs>
        <w:ind w:left="360" w:hanging="360"/>
      </w:pPr>
    </w:lvl>
    <w:lvl w:ilvl="4" w:tplc="F2CE92A8">
      <w:numFmt w:val="none"/>
      <w:lvlText w:val=""/>
      <w:lvlJc w:val="left"/>
      <w:pPr>
        <w:tabs>
          <w:tab w:val="num" w:pos="360"/>
        </w:tabs>
        <w:ind w:left="360" w:hanging="360"/>
      </w:pPr>
    </w:lvl>
    <w:lvl w:ilvl="5" w:tplc="99CCBC40">
      <w:numFmt w:val="none"/>
      <w:lvlText w:val=""/>
      <w:lvlJc w:val="left"/>
      <w:pPr>
        <w:tabs>
          <w:tab w:val="num" w:pos="360"/>
        </w:tabs>
        <w:ind w:left="360" w:hanging="360"/>
      </w:pPr>
    </w:lvl>
    <w:lvl w:ilvl="6" w:tplc="7626F918">
      <w:numFmt w:val="none"/>
      <w:lvlText w:val=""/>
      <w:lvlJc w:val="left"/>
      <w:pPr>
        <w:tabs>
          <w:tab w:val="num" w:pos="360"/>
        </w:tabs>
        <w:ind w:left="360" w:hanging="360"/>
      </w:pPr>
    </w:lvl>
    <w:lvl w:ilvl="7" w:tplc="975C0B6A">
      <w:numFmt w:val="none"/>
      <w:lvlText w:val=""/>
      <w:lvlJc w:val="left"/>
      <w:pPr>
        <w:tabs>
          <w:tab w:val="num" w:pos="360"/>
        </w:tabs>
        <w:ind w:left="360" w:hanging="360"/>
      </w:pPr>
    </w:lvl>
    <w:lvl w:ilvl="8" w:tplc="269A2AFC">
      <w:numFmt w:val="none"/>
      <w:lvlText w:val=""/>
      <w:lvlJc w:val="left"/>
      <w:pPr>
        <w:tabs>
          <w:tab w:val="num" w:pos="360"/>
        </w:tabs>
        <w:ind w:left="360" w:hanging="360"/>
      </w:pPr>
    </w:lvl>
  </w:abstractNum>
  <w:abstractNum w:abstractNumId="3" w15:restartNumberingAfterBreak="0">
    <w:nsid w:val="37D51686"/>
    <w:multiLevelType w:val="hybridMultilevel"/>
    <w:tmpl w:val="7B1C4BA2"/>
    <w:name w:val="WW8Num3"/>
    <w:lvl w:ilvl="0" w:tplc="D3307F46">
      <w:start w:val="3"/>
      <w:numFmt w:val="decimal"/>
      <w:lvlText w:val="%1."/>
      <w:lvlJc w:val="left"/>
      <w:pPr>
        <w:ind w:left="0" w:firstLine="0"/>
      </w:pPr>
    </w:lvl>
    <w:lvl w:ilvl="1" w:tplc="03EE0924">
      <w:start w:val="1"/>
      <w:numFmt w:val="decimal"/>
      <w:lvlText w:val="%2."/>
      <w:lvlJc w:val="left"/>
      <w:pPr>
        <w:ind w:left="0" w:firstLine="0"/>
      </w:pPr>
    </w:lvl>
    <w:lvl w:ilvl="2" w:tplc="2022FC9E">
      <w:start w:val="1"/>
      <w:numFmt w:val="decimal"/>
      <w:lvlText w:val="%3."/>
      <w:lvlJc w:val="left"/>
      <w:pPr>
        <w:ind w:left="0" w:firstLine="0"/>
      </w:pPr>
    </w:lvl>
    <w:lvl w:ilvl="3" w:tplc="E370D8D0">
      <w:start w:val="1"/>
      <w:numFmt w:val="decimal"/>
      <w:lvlText w:val="%4."/>
      <w:lvlJc w:val="left"/>
      <w:pPr>
        <w:ind w:left="0" w:firstLine="0"/>
      </w:pPr>
    </w:lvl>
    <w:lvl w:ilvl="4" w:tplc="50C0676A">
      <w:start w:val="1"/>
      <w:numFmt w:val="decimal"/>
      <w:lvlText w:val="%5."/>
      <w:lvlJc w:val="left"/>
      <w:pPr>
        <w:ind w:left="0" w:firstLine="0"/>
      </w:pPr>
    </w:lvl>
    <w:lvl w:ilvl="5" w:tplc="CD0025C2">
      <w:start w:val="1"/>
      <w:numFmt w:val="decimal"/>
      <w:lvlText w:val="%6."/>
      <w:lvlJc w:val="left"/>
      <w:pPr>
        <w:ind w:left="0" w:firstLine="0"/>
      </w:pPr>
    </w:lvl>
    <w:lvl w:ilvl="6" w:tplc="F85EED10">
      <w:start w:val="1"/>
      <w:numFmt w:val="decimal"/>
      <w:lvlText w:val="%7."/>
      <w:lvlJc w:val="left"/>
      <w:pPr>
        <w:ind w:left="0" w:firstLine="0"/>
      </w:pPr>
    </w:lvl>
    <w:lvl w:ilvl="7" w:tplc="1B642242">
      <w:start w:val="1"/>
      <w:numFmt w:val="decimal"/>
      <w:lvlText w:val="%8."/>
      <w:lvlJc w:val="left"/>
      <w:pPr>
        <w:ind w:left="0" w:firstLine="0"/>
      </w:pPr>
    </w:lvl>
    <w:lvl w:ilvl="8" w:tplc="86CCDAA8">
      <w:start w:val="1"/>
      <w:numFmt w:val="decimal"/>
      <w:lvlText w:val="%9."/>
      <w:lvlJc w:val="left"/>
      <w:pPr>
        <w:ind w:left="0" w:firstLine="0"/>
      </w:pPr>
    </w:lvl>
  </w:abstractNum>
  <w:abstractNum w:abstractNumId="4" w15:restartNumberingAfterBreak="0">
    <w:nsid w:val="3F741190"/>
    <w:multiLevelType w:val="hybridMultilevel"/>
    <w:tmpl w:val="FF843402"/>
    <w:name w:val="Numbered list 1"/>
    <w:lvl w:ilvl="0" w:tplc="8876B730">
      <w:start w:val="1"/>
      <w:numFmt w:val="decimal"/>
      <w:lvlText w:val="%1."/>
      <w:lvlJc w:val="left"/>
      <w:pPr>
        <w:ind w:left="0" w:firstLine="0"/>
      </w:pPr>
    </w:lvl>
    <w:lvl w:ilvl="1" w:tplc="20F47632">
      <w:start w:val="1"/>
      <w:numFmt w:val="lowerLetter"/>
      <w:lvlText w:val="%2."/>
      <w:lvlJc w:val="left"/>
      <w:pPr>
        <w:ind w:left="0" w:firstLine="0"/>
      </w:pPr>
    </w:lvl>
    <w:lvl w:ilvl="2" w:tplc="E1F04492">
      <w:start w:val="1"/>
      <w:numFmt w:val="lowerRoman"/>
      <w:lvlText w:val="%3."/>
      <w:lvlJc w:val="left"/>
      <w:pPr>
        <w:ind w:left="0" w:firstLine="0"/>
      </w:pPr>
    </w:lvl>
    <w:lvl w:ilvl="3" w:tplc="E86AD1FC">
      <w:start w:val="1"/>
      <w:numFmt w:val="decimal"/>
      <w:lvlText w:val="%4."/>
      <w:lvlJc w:val="left"/>
      <w:pPr>
        <w:ind w:left="0" w:firstLine="0"/>
      </w:pPr>
    </w:lvl>
    <w:lvl w:ilvl="4" w:tplc="6D827556">
      <w:start w:val="1"/>
      <w:numFmt w:val="lowerLetter"/>
      <w:lvlText w:val="%5."/>
      <w:lvlJc w:val="left"/>
      <w:pPr>
        <w:ind w:left="0" w:firstLine="0"/>
      </w:pPr>
    </w:lvl>
    <w:lvl w:ilvl="5" w:tplc="E8244D50">
      <w:start w:val="1"/>
      <w:numFmt w:val="lowerRoman"/>
      <w:lvlText w:val="%6."/>
      <w:lvlJc w:val="left"/>
      <w:pPr>
        <w:ind w:left="0" w:firstLine="0"/>
      </w:pPr>
    </w:lvl>
    <w:lvl w:ilvl="6" w:tplc="79F2C2C2">
      <w:start w:val="1"/>
      <w:numFmt w:val="decimal"/>
      <w:lvlText w:val="%7."/>
      <w:lvlJc w:val="left"/>
      <w:pPr>
        <w:ind w:left="0" w:firstLine="0"/>
      </w:pPr>
    </w:lvl>
    <w:lvl w:ilvl="7" w:tplc="4680EBA2">
      <w:start w:val="1"/>
      <w:numFmt w:val="lowerLetter"/>
      <w:lvlText w:val="%8."/>
      <w:lvlJc w:val="left"/>
      <w:pPr>
        <w:ind w:left="0" w:firstLine="0"/>
      </w:pPr>
    </w:lvl>
    <w:lvl w:ilvl="8" w:tplc="59FA5388">
      <w:start w:val="1"/>
      <w:numFmt w:val="lowerRoman"/>
      <w:lvlText w:val="%9."/>
      <w:lvlJc w:val="left"/>
      <w:pPr>
        <w:ind w:left="0" w:firstLine="0"/>
      </w:pPr>
    </w:lvl>
  </w:abstractNum>
  <w:abstractNum w:abstractNumId="5" w15:restartNumberingAfterBreak="0">
    <w:nsid w:val="4CD0130C"/>
    <w:multiLevelType w:val="hybridMultilevel"/>
    <w:tmpl w:val="E5E2B69C"/>
    <w:name w:val="Numbered list 3"/>
    <w:lvl w:ilvl="0" w:tplc="F2682D0C">
      <w:numFmt w:val="none"/>
      <w:lvlText w:val=""/>
      <w:lvlJc w:val="left"/>
      <w:pPr>
        <w:ind w:left="0" w:firstLine="0"/>
      </w:pPr>
    </w:lvl>
    <w:lvl w:ilvl="1" w:tplc="860CE426">
      <w:numFmt w:val="none"/>
      <w:lvlText w:val=""/>
      <w:lvlJc w:val="left"/>
      <w:pPr>
        <w:ind w:left="0" w:firstLine="0"/>
      </w:pPr>
    </w:lvl>
    <w:lvl w:ilvl="2" w:tplc="32C89C28">
      <w:numFmt w:val="none"/>
      <w:lvlText w:val=""/>
      <w:lvlJc w:val="left"/>
      <w:pPr>
        <w:ind w:left="0" w:firstLine="0"/>
      </w:pPr>
    </w:lvl>
    <w:lvl w:ilvl="3" w:tplc="5B8C616C">
      <w:numFmt w:val="none"/>
      <w:lvlText w:val=""/>
      <w:lvlJc w:val="left"/>
      <w:pPr>
        <w:ind w:left="0" w:firstLine="0"/>
      </w:pPr>
    </w:lvl>
    <w:lvl w:ilvl="4" w:tplc="FA9CEA58">
      <w:numFmt w:val="none"/>
      <w:lvlText w:val=""/>
      <w:lvlJc w:val="left"/>
      <w:pPr>
        <w:ind w:left="0" w:firstLine="0"/>
      </w:pPr>
    </w:lvl>
    <w:lvl w:ilvl="5" w:tplc="F24E2672">
      <w:numFmt w:val="none"/>
      <w:lvlText w:val=""/>
      <w:lvlJc w:val="left"/>
      <w:pPr>
        <w:ind w:left="0" w:firstLine="0"/>
      </w:pPr>
    </w:lvl>
    <w:lvl w:ilvl="6" w:tplc="4CB2DD12">
      <w:numFmt w:val="none"/>
      <w:lvlText w:val=""/>
      <w:lvlJc w:val="left"/>
      <w:pPr>
        <w:ind w:left="0" w:firstLine="0"/>
      </w:pPr>
    </w:lvl>
    <w:lvl w:ilvl="7" w:tplc="913AFB96">
      <w:numFmt w:val="none"/>
      <w:lvlText w:val=""/>
      <w:lvlJc w:val="left"/>
      <w:pPr>
        <w:ind w:left="0" w:firstLine="0"/>
      </w:pPr>
    </w:lvl>
    <w:lvl w:ilvl="8" w:tplc="3E4411DE">
      <w:numFmt w:val="none"/>
      <w:lvlText w:val=""/>
      <w:lvlJc w:val="left"/>
      <w:pPr>
        <w:ind w:left="0" w:firstLine="0"/>
      </w:pPr>
    </w:lvl>
  </w:abstractNum>
  <w:abstractNum w:abstractNumId="6" w15:restartNumberingAfterBreak="0">
    <w:nsid w:val="680D7505"/>
    <w:multiLevelType w:val="hybridMultilevel"/>
    <w:tmpl w:val="3BA6DE4C"/>
    <w:name w:val="Numbered list 2"/>
    <w:lvl w:ilvl="0" w:tplc="B72C99B2">
      <w:start w:val="1"/>
      <w:numFmt w:val="upperLetter"/>
      <w:lvlText w:val="%1."/>
      <w:lvlJc w:val="left"/>
      <w:pPr>
        <w:ind w:left="360" w:firstLine="0"/>
      </w:pPr>
    </w:lvl>
    <w:lvl w:ilvl="1" w:tplc="AFD06A36">
      <w:start w:val="1"/>
      <w:numFmt w:val="lowerLetter"/>
      <w:lvlText w:val="%2."/>
      <w:lvlJc w:val="left"/>
      <w:pPr>
        <w:ind w:left="1080" w:firstLine="0"/>
      </w:pPr>
    </w:lvl>
    <w:lvl w:ilvl="2" w:tplc="33B05986">
      <w:start w:val="1"/>
      <w:numFmt w:val="lowerRoman"/>
      <w:lvlText w:val="%3."/>
      <w:lvlJc w:val="left"/>
      <w:pPr>
        <w:ind w:left="1980" w:firstLine="0"/>
      </w:pPr>
    </w:lvl>
    <w:lvl w:ilvl="3" w:tplc="DC787174">
      <w:start w:val="1"/>
      <w:numFmt w:val="decimal"/>
      <w:lvlText w:val="%4."/>
      <w:lvlJc w:val="left"/>
      <w:pPr>
        <w:ind w:left="2520" w:firstLine="0"/>
      </w:pPr>
    </w:lvl>
    <w:lvl w:ilvl="4" w:tplc="0AAA601C">
      <w:start w:val="1"/>
      <w:numFmt w:val="lowerLetter"/>
      <w:lvlText w:val="%5."/>
      <w:lvlJc w:val="left"/>
      <w:pPr>
        <w:ind w:left="3240" w:firstLine="0"/>
      </w:pPr>
    </w:lvl>
    <w:lvl w:ilvl="5" w:tplc="A21C7BEC">
      <w:start w:val="1"/>
      <w:numFmt w:val="lowerRoman"/>
      <w:lvlText w:val="%6."/>
      <w:lvlJc w:val="left"/>
      <w:pPr>
        <w:ind w:left="4140" w:firstLine="0"/>
      </w:pPr>
    </w:lvl>
    <w:lvl w:ilvl="6" w:tplc="708C0E3A">
      <w:start w:val="1"/>
      <w:numFmt w:val="decimal"/>
      <w:lvlText w:val="%7."/>
      <w:lvlJc w:val="left"/>
      <w:pPr>
        <w:ind w:left="4680" w:firstLine="0"/>
      </w:pPr>
    </w:lvl>
    <w:lvl w:ilvl="7" w:tplc="4D682602">
      <w:start w:val="1"/>
      <w:numFmt w:val="lowerLetter"/>
      <w:lvlText w:val="%8."/>
      <w:lvlJc w:val="left"/>
      <w:pPr>
        <w:ind w:left="5400" w:firstLine="0"/>
      </w:pPr>
    </w:lvl>
    <w:lvl w:ilvl="8" w:tplc="73D06BF2">
      <w:start w:val="1"/>
      <w:numFmt w:val="lowerRoman"/>
      <w:lvlText w:val="%9."/>
      <w:lvlJc w:val="left"/>
      <w:pPr>
        <w:ind w:left="6300" w:firstLine="0"/>
      </w:pPr>
    </w:lvl>
  </w:abstractNum>
  <w:abstractNum w:abstractNumId="7" w15:restartNumberingAfterBreak="0">
    <w:nsid w:val="724E7399"/>
    <w:multiLevelType w:val="hybridMultilevel"/>
    <w:tmpl w:val="0D62ACDC"/>
    <w:name w:val="WW8Num1"/>
    <w:lvl w:ilvl="0" w:tplc="0188127C">
      <w:start w:val="1"/>
      <w:numFmt w:val="decimal"/>
      <w:lvlText w:val="%1."/>
      <w:lvlJc w:val="left"/>
      <w:pPr>
        <w:ind w:left="0" w:firstLine="0"/>
      </w:pPr>
    </w:lvl>
    <w:lvl w:ilvl="1" w:tplc="9D403DAC">
      <w:start w:val="1"/>
      <w:numFmt w:val="decimal"/>
      <w:lvlText w:val="%2."/>
      <w:lvlJc w:val="left"/>
      <w:pPr>
        <w:ind w:left="0" w:firstLine="0"/>
      </w:pPr>
    </w:lvl>
    <w:lvl w:ilvl="2" w:tplc="5EF2F42C">
      <w:start w:val="1"/>
      <w:numFmt w:val="decimal"/>
      <w:lvlText w:val="%3."/>
      <w:lvlJc w:val="left"/>
      <w:pPr>
        <w:ind w:left="0" w:firstLine="0"/>
      </w:pPr>
    </w:lvl>
    <w:lvl w:ilvl="3" w:tplc="D8A81EF0">
      <w:start w:val="1"/>
      <w:numFmt w:val="decimal"/>
      <w:lvlText w:val="%4."/>
      <w:lvlJc w:val="left"/>
      <w:pPr>
        <w:ind w:left="0" w:firstLine="0"/>
      </w:pPr>
    </w:lvl>
    <w:lvl w:ilvl="4" w:tplc="69405378">
      <w:start w:val="1"/>
      <w:numFmt w:val="decimal"/>
      <w:lvlText w:val="%5."/>
      <w:lvlJc w:val="left"/>
      <w:pPr>
        <w:ind w:left="0" w:firstLine="0"/>
      </w:pPr>
    </w:lvl>
    <w:lvl w:ilvl="5" w:tplc="BC8CD4B4">
      <w:start w:val="1"/>
      <w:numFmt w:val="decimal"/>
      <w:lvlText w:val="%6."/>
      <w:lvlJc w:val="left"/>
      <w:pPr>
        <w:ind w:left="0" w:firstLine="0"/>
      </w:pPr>
    </w:lvl>
    <w:lvl w:ilvl="6" w:tplc="A22E3598">
      <w:start w:val="1"/>
      <w:numFmt w:val="decimal"/>
      <w:lvlText w:val="%7."/>
      <w:lvlJc w:val="left"/>
      <w:pPr>
        <w:ind w:left="0" w:firstLine="0"/>
      </w:pPr>
    </w:lvl>
    <w:lvl w:ilvl="7" w:tplc="7828F1BA">
      <w:start w:val="1"/>
      <w:numFmt w:val="decimal"/>
      <w:lvlText w:val="%8."/>
      <w:lvlJc w:val="left"/>
      <w:pPr>
        <w:ind w:left="0" w:firstLine="0"/>
      </w:pPr>
    </w:lvl>
    <w:lvl w:ilvl="8" w:tplc="14988650">
      <w:start w:val="1"/>
      <w:numFmt w:val="decimal"/>
      <w:lvlText w:val="%9."/>
      <w:lvlJc w:val="left"/>
      <w:pPr>
        <w:ind w:left="0" w:firstLine="0"/>
      </w:pPr>
    </w:lvl>
  </w:abstractNum>
  <w:num w:numId="1">
    <w:abstractNumId w:val="4"/>
  </w:num>
  <w:num w:numId="2">
    <w:abstractNumId w:val="1"/>
  </w:num>
  <w:num w:numId="3">
    <w:abstractNumId w:val="6"/>
  </w:num>
  <w:num w:numId="4">
    <w:abstractNumId w:val="5"/>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83"/>
  <w:drawingGridVerticalSpacing w:val="283"/>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CF"/>
    <w:rsid w:val="004217CF"/>
    <w:rsid w:val="00615FD6"/>
    <w:rsid w:val="00892327"/>
    <w:rsid w:val="008B39AF"/>
    <w:rsid w:val="00923916"/>
    <w:rsid w:val="009252B7"/>
    <w:rsid w:val="00C3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739752-3130-4B33-B058-473C329E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qFormat/>
    <w:pPr>
      <w:keepNext/>
      <w:outlineLvl w:val="0"/>
    </w:pPr>
    <w:rPr>
      <w:b/>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sz w:val="24"/>
    </w:rPr>
  </w:style>
  <w:style w:type="paragraph" w:styleId="Pagrindinistekstas">
    <w:name w:val="Body Text"/>
    <w:basedOn w:val="prastasis"/>
    <w:qFormat/>
    <w:pPr>
      <w:jc w:val="both"/>
    </w:pPr>
    <w:rPr>
      <w:sz w:val="24"/>
    </w:rPr>
  </w:style>
  <w:style w:type="paragraph" w:styleId="Pagrindiniotekstotrauka">
    <w:name w:val="Body Text Indent"/>
    <w:basedOn w:val="prastasis"/>
    <w:qFormat/>
    <w:pPr>
      <w:ind w:firstLine="720"/>
      <w:jc w:val="both"/>
    </w:pPr>
    <w:rPr>
      <w:sz w:val="24"/>
    </w:rPr>
  </w:style>
  <w:style w:type="paragraph" w:styleId="Paantrat">
    <w:name w:val="Subtitle"/>
    <w:basedOn w:val="prastasis"/>
    <w:qFormat/>
    <w:pPr>
      <w:jc w:val="center"/>
    </w:pPr>
    <w:rPr>
      <w:b/>
      <w:sz w:val="24"/>
    </w:rPr>
  </w:style>
  <w:style w:type="paragraph" w:styleId="Debesliotekstas">
    <w:name w:val="Balloon Text"/>
    <w:basedOn w:val="prastasis"/>
    <w:qFormat/>
    <w:rPr>
      <w:rFonts w:ascii="Tahoma" w:hAnsi="Tahoma" w:cs="Tahoma"/>
      <w:sz w:val="16"/>
      <w:szCs w:val="16"/>
    </w:rPr>
  </w:style>
  <w:style w:type="paragraph" w:styleId="prastasiniatinklio">
    <w:name w:val="Normal (Web)"/>
    <w:basedOn w:val="prastasis"/>
    <w:qFormat/>
    <w:pPr>
      <w:spacing w:before="100" w:beforeAutospacing="1" w:after="100" w:afterAutospacing="1"/>
    </w:pPr>
    <w:rPr>
      <w:sz w:val="24"/>
      <w:szCs w:val="24"/>
      <w:lang w:val="en-US"/>
    </w:rPr>
  </w:style>
  <w:style w:type="paragraph" w:styleId="Antrats">
    <w:name w:val="header"/>
    <w:basedOn w:val="prastasis"/>
    <w:qFormat/>
    <w:pPr>
      <w:tabs>
        <w:tab w:val="center" w:pos="4680"/>
        <w:tab w:val="right" w:pos="9360"/>
      </w:tabs>
    </w:pPr>
  </w:style>
  <w:style w:type="paragraph" w:styleId="Porat">
    <w:name w:val="footer"/>
    <w:basedOn w:val="prastasis"/>
    <w:qFormat/>
    <w:pPr>
      <w:tabs>
        <w:tab w:val="center" w:pos="4680"/>
        <w:tab w:val="right" w:pos="9360"/>
      </w:tabs>
    </w:pPr>
  </w:style>
  <w:style w:type="paragraph" w:styleId="Sraopastraipa">
    <w:name w:val="List Paragraph"/>
    <w:basedOn w:val="prastasis"/>
    <w:qFormat/>
    <w:pPr>
      <w:ind w:left="720"/>
      <w:contextualSpacing/>
    </w:pPr>
  </w:style>
  <w:style w:type="character" w:styleId="Hipersaitas">
    <w:name w:val="Hyperlink"/>
    <w:rPr>
      <w:color w:val="auto"/>
      <w:u w:val="single"/>
    </w:rPr>
  </w:style>
  <w:style w:type="character" w:customStyle="1" w:styleId="HeaderChar">
    <w:name w:val="Header Char"/>
    <w:rPr>
      <w:lang w:val="lt-LT" w:eastAsia="zh-CN"/>
    </w:rPr>
  </w:style>
  <w:style w:type="character" w:customStyle="1" w:styleId="FooterChar">
    <w:name w:val="Footer Char"/>
    <w:rPr>
      <w:lang w:val="lt-LT" w:eastAsia="zh-CN"/>
    </w:rPr>
  </w:style>
  <w:style w:type="character" w:customStyle="1" w:styleId="Heading1Char">
    <w:name w:val="Heading 1 Char"/>
    <w:rPr>
      <w:b/>
      <w:sz w:val="26"/>
      <w:lang w:val="lt-LT"/>
    </w:rPr>
  </w:style>
  <w:style w:type="character" w:customStyle="1" w:styleId="fontstyle01">
    <w:name w:val="fontstyle01"/>
    <w:basedOn w:val="Numatytasispastraiposriftas"/>
    <w:rPr>
      <w:rFonts w:ascii="CIDFont+F1" w:hAnsi="CIDFont+F1"/>
      <w:b w:val="0"/>
      <w:bCs w:val="0"/>
      <w:i w:val="0"/>
      <w:iCs w:val="0"/>
      <w:color w:val="000000"/>
      <w:sz w:val="24"/>
      <w:szCs w:val="24"/>
    </w:rPr>
  </w:style>
  <w:style w:type="table" w:styleId="Lentelstinklelis">
    <w:name w:val="Table Grid"/>
    <w:basedOn w:val="prastojilente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1339</Words>
  <Characters>7635</Characters>
  <Application>Microsoft Office Word</Application>
  <DocSecurity>0</DocSecurity>
  <Lines>63</Lines>
  <Paragraphs>17</Paragraphs>
  <ScaleCrop>false</ScaleCrop>
  <HeadingPairs>
    <vt:vector size="2" baseType="variant">
      <vt:variant>
        <vt:lpstr>Pavadinimas</vt:lpstr>
      </vt:variant>
      <vt:variant>
        <vt:i4>1</vt:i4>
      </vt:variant>
    </vt:vector>
  </HeadingPairs>
  <TitlesOfParts>
    <vt:vector size="1" baseType="lpstr">
      <vt:lpstr>sprendimas</vt:lpstr>
    </vt:vector>
  </TitlesOfParts>
  <Company/>
  <LinksUpToDate>false</LinksUpToDate>
  <CharactersWithSpaces>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sprendimas</dc:title>
  <dc:subject/>
  <dc:creator>Test</dc:creator>
  <cp:keywords/>
  <dc:description/>
  <cp:lastModifiedBy>Vartotoja</cp:lastModifiedBy>
  <cp:revision>6</cp:revision>
  <cp:lastPrinted>2022-10-19T07:07:00Z</cp:lastPrinted>
  <dcterms:created xsi:type="dcterms:W3CDTF">2022-10-19T07:50:00Z</dcterms:created>
  <dcterms:modified xsi:type="dcterms:W3CDTF">2022-10-20T05:48:00Z</dcterms:modified>
</cp:coreProperties>
</file>