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6147409C"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1F666F">
        <w:rPr>
          <w:szCs w:val="24"/>
          <w:u w:val="single"/>
        </w:rPr>
        <w:t>02</w:t>
      </w:r>
      <w:r w:rsidR="000A2880">
        <w:rPr>
          <w:szCs w:val="24"/>
          <w:u w:val="single"/>
        </w:rPr>
        <w:t>-0</w:t>
      </w:r>
      <w:r w:rsidR="001F666F">
        <w:rPr>
          <w:szCs w:val="24"/>
          <w:u w:val="single"/>
        </w:rPr>
        <w:t>3</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7D9300DF" w:rsidR="0088186C" w:rsidRDefault="003725AB">
            <w:pPr>
              <w:jc w:val="both"/>
              <w:rPr>
                <w:rFonts w:eastAsia="Malgun Gothic"/>
                <w:i/>
                <w:sz w:val="20"/>
              </w:rPr>
            </w:pPr>
            <w:r>
              <w:rPr>
                <w:i/>
                <w:sz w:val="20"/>
              </w:rPr>
              <w:t xml:space="preserve">Kėdainių rajono savivaldybė, į. </w:t>
            </w:r>
            <w:r w:rsidR="005D57DC">
              <w:rPr>
                <w:i/>
                <w:sz w:val="20"/>
              </w:rPr>
              <w:t xml:space="preserve">k. </w:t>
            </w:r>
            <w:r w:rsidR="005D57DC" w:rsidRPr="005D57DC">
              <w:rPr>
                <w:i/>
                <w:sz w:val="20"/>
              </w:rPr>
              <w:t>111103885</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02F6E26B" w:rsidR="00C47406" w:rsidRPr="00C47406" w:rsidRDefault="00662C41">
            <w:pPr>
              <w:jc w:val="both"/>
              <w:rPr>
                <w:rFonts w:eastAsia="Malgun Gothic"/>
                <w:i/>
                <w:iCs/>
                <w:sz w:val="20"/>
              </w:rPr>
            </w:pPr>
            <w:r w:rsidRPr="00662C41">
              <w:rPr>
                <w:rFonts w:eastAsia="Malgun Gothic"/>
                <w:i/>
                <w:iCs/>
                <w:sz w:val="20"/>
              </w:rPr>
              <w:t>17,67 kv. m bendro ploto patalp</w:t>
            </w:r>
            <w:r>
              <w:rPr>
                <w:rFonts w:eastAsia="Malgun Gothic"/>
                <w:i/>
                <w:iCs/>
                <w:sz w:val="20"/>
              </w:rPr>
              <w:t>a</w:t>
            </w:r>
            <w:r w:rsidRPr="00662C41">
              <w:rPr>
                <w:rFonts w:eastAsia="Malgun Gothic"/>
                <w:i/>
                <w:iCs/>
                <w:sz w:val="20"/>
              </w:rPr>
              <w:t xml:space="preserve"> (indeksas 35) pastate, plane pažymėtame 1C3b, unikalus numeris 5397-7000-9013, esan</w:t>
            </w:r>
            <w:r w:rsidR="002C5E0F">
              <w:rPr>
                <w:rFonts w:eastAsia="Malgun Gothic"/>
                <w:i/>
                <w:iCs/>
                <w:sz w:val="20"/>
              </w:rPr>
              <w:t>ti</w:t>
            </w:r>
            <w:r w:rsidRPr="00662C41">
              <w:rPr>
                <w:rFonts w:eastAsia="Malgun Gothic"/>
                <w:i/>
                <w:iCs/>
                <w:sz w:val="20"/>
              </w:rPr>
              <w:t xml:space="preserve"> Kėdainių m., S. Dariaus ir S. Girėno g. 52</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25FD499D" w:rsidR="0088186C" w:rsidRDefault="00662C41">
            <w:pPr>
              <w:jc w:val="both"/>
              <w:rPr>
                <w:i/>
                <w:sz w:val="20"/>
              </w:rPr>
            </w:pPr>
            <w:r w:rsidRPr="00662C41">
              <w:rPr>
                <w:i/>
                <w:sz w:val="20"/>
              </w:rPr>
              <w:t>Asociacij</w:t>
            </w:r>
            <w:r>
              <w:rPr>
                <w:i/>
                <w:sz w:val="20"/>
              </w:rPr>
              <w:t xml:space="preserve">a </w:t>
            </w:r>
            <w:r w:rsidRPr="00662C41">
              <w:rPr>
                <w:i/>
                <w:sz w:val="20"/>
              </w:rPr>
              <w:t xml:space="preserve"> Kėdainių lenkų draugija (kodas 161634080)</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2C5A6493" w:rsidR="0088186C" w:rsidRDefault="005D57DC">
            <w:pPr>
              <w:jc w:val="both"/>
              <w:rPr>
                <w:rFonts w:eastAsia="Malgun Gothic"/>
                <w:i/>
                <w:sz w:val="20"/>
              </w:rPr>
            </w:pPr>
            <w:r>
              <w:rPr>
                <w:bCs/>
                <w:i/>
                <w:iCs/>
                <w:sz w:val="20"/>
              </w:rPr>
              <w:t>Nekilnojamasis turtas perduodamas asociacijos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662C41" w:rsidRPr="00662C41">
              <w:rPr>
                <w:bCs/>
                <w:i/>
                <w:iCs/>
                <w:sz w:val="20"/>
              </w:rPr>
              <w:t>tenkinti etninės kultūros, meno kūrėjų ir kultūros darbuotojų poreikius per kultūros ir meno plėtros, kultūrinės edukacijos ar kultūros paveldo apsaugos veiklą</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7D644017"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etninės kultūros, meno kūrėjų ir kultūros darbuotojų poreikius per kultūros ir meno plėtros, kultūrinės edukacijos ar kultūros paveldo apsaugos veiklą</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lastRenderedPageBreak/>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BAC2" w14:textId="77777777" w:rsidR="00603119" w:rsidRDefault="00603119">
      <w:r>
        <w:separator/>
      </w:r>
    </w:p>
  </w:endnote>
  <w:endnote w:type="continuationSeparator" w:id="0">
    <w:p w14:paraId="3C6E1B6E" w14:textId="77777777" w:rsidR="00603119" w:rsidRDefault="0060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8210" w14:textId="77777777" w:rsidR="00603119" w:rsidRDefault="00603119">
      <w:r>
        <w:separator/>
      </w:r>
    </w:p>
  </w:footnote>
  <w:footnote w:type="continuationSeparator" w:id="0">
    <w:p w14:paraId="2C9D88F2" w14:textId="77777777" w:rsidR="00603119" w:rsidRDefault="0060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85CAD"/>
    <w:rsid w:val="000A2880"/>
    <w:rsid w:val="00150B78"/>
    <w:rsid w:val="001F666F"/>
    <w:rsid w:val="00203990"/>
    <w:rsid w:val="002C5E0F"/>
    <w:rsid w:val="002F497B"/>
    <w:rsid w:val="003623B2"/>
    <w:rsid w:val="003725AB"/>
    <w:rsid w:val="003877DA"/>
    <w:rsid w:val="003D1F50"/>
    <w:rsid w:val="004B62C8"/>
    <w:rsid w:val="005D57DC"/>
    <w:rsid w:val="00603119"/>
    <w:rsid w:val="00662C41"/>
    <w:rsid w:val="006C7567"/>
    <w:rsid w:val="006F4CF4"/>
    <w:rsid w:val="00804AD8"/>
    <w:rsid w:val="00846BAC"/>
    <w:rsid w:val="0088186C"/>
    <w:rsid w:val="008A7F9C"/>
    <w:rsid w:val="009C7FE2"/>
    <w:rsid w:val="00B24BB6"/>
    <w:rsid w:val="00B8259E"/>
    <w:rsid w:val="00B840F1"/>
    <w:rsid w:val="00C47406"/>
    <w:rsid w:val="00C70778"/>
    <w:rsid w:val="00D8016A"/>
    <w:rsid w:val="00D96F25"/>
    <w:rsid w:val="00E2528A"/>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55351F69-5752-41D9-AF23-5B8B244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510</Words>
  <Characters>3698</Characters>
  <Application>Microsoft Office Word</Application>
  <DocSecurity>0</DocSecurity>
  <Lines>123</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2025-01-14T07:15:00Z</dcterms:created>
  <dc:creator>User</dc:creator>
  <cp:lastModifiedBy>Agnė Lukošiūtė-Stasiukonienė</cp:lastModifiedBy>
  <dcterms:modified xsi:type="dcterms:W3CDTF">2025-01-20T06:37:00Z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6fa8c9fe170a3fd116ca2ca2485746f0a3b7651bcbaf6937a410204c3407a2a9</vt:lpwstr>
  </property>
</Properties>
</file>