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image/x-wmf" PartName="/word/media/image1.wmf"/>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
          <w:lang w:eastAsia="zh-CN"/>
        </w:rPr>
      </w:pPr>
      <w:r>
        <w:rPr>
          <w:b/>
          <w:lang w:eastAsia="zh-CN"/>
        </w:rPr>
        <w:t>Projekto lyginamasis variantas</w:t>
      </w:r>
    </w:p>
    <w:p>
      <w:pPr>
        <w:pStyle w:val="Normal"/>
        <w:jc w:val="center"/>
        <w:rPr>
          <w:b/>
          <w:b/>
          <w:lang w:eastAsia="zh-CN"/>
        </w:rPr>
      </w:pPr>
      <w:r>
        <w:rPr>
          <w:b/>
          <w:lang w:val="lt-LT" w:eastAsia="lt-LT"/>
        </w:rPr>
        <w:drawing>
          <wp:inline distT="0" distB="0" distL="0" distR="0">
            <wp:extent cx="457200" cy="532765"/>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rcRect l="-42" t="-84" r="-42" b="-84"/>
                    <a:stretch>
                      <a:fillRect/>
                    </a:stretch>
                  </pic:blipFill>
                  <pic:spPr bwMode="auto">
                    <a:xfrm>
                      <a:off x="0" y="0"/>
                      <a:ext cx="457200" cy="532765"/>
                    </a:xfrm>
                    <a:prstGeom prst="rect">
                      <a:avLst/>
                    </a:prstGeom>
                  </pic:spPr>
                </pic:pic>
              </a:graphicData>
            </a:graphic>
          </wp:inline>
        </w:drawing>
      </w:r>
    </w:p>
    <w:p>
      <w:pPr>
        <w:pStyle w:val="Normal"/>
        <w:jc w:val="center"/>
        <w:rPr>
          <w:b/>
          <w:b/>
          <w:lang w:eastAsia="zh-CN"/>
        </w:rPr>
      </w:pPr>
      <w:r>
        <w:rPr>
          <w:b/>
          <w:lang w:eastAsia="zh-CN"/>
        </w:rPr>
      </w:r>
    </w:p>
    <w:p>
      <w:pPr>
        <w:pStyle w:val="Normal"/>
        <w:jc w:val="center"/>
        <w:rPr>
          <w:b/>
          <w:b/>
          <w:szCs w:val="24"/>
          <w:lang w:eastAsia="zh-CN"/>
        </w:rPr>
      </w:pPr>
      <w:r>
        <w:rPr>
          <w:b/>
          <w:szCs w:val="24"/>
          <w:lang w:eastAsia="zh-CN"/>
        </w:rPr>
        <w:t>KĖDAINIŲ RAJONO SAVIVALDYBĖS TARYBA</w:t>
      </w:r>
    </w:p>
    <w:p>
      <w:pPr>
        <w:pStyle w:val="Normal"/>
        <w:jc w:val="center"/>
        <w:rPr>
          <w:b/>
          <w:b/>
          <w:szCs w:val="24"/>
          <w:lang w:eastAsia="lt-LT"/>
        </w:rPr>
      </w:pPr>
      <w:r>
        <w:rPr>
          <w:b/>
          <w:szCs w:val="24"/>
          <w:lang w:eastAsia="lt-LT"/>
        </w:rPr>
      </w:r>
    </w:p>
    <w:p>
      <w:pPr>
        <w:pStyle w:val="Normal"/>
        <w:jc w:val="center"/>
        <w:rPr>
          <w:b/>
          <w:b/>
          <w:sz w:val="28"/>
          <w:szCs w:val="28"/>
          <w:lang w:eastAsia="lt-LT"/>
        </w:rPr>
      </w:pPr>
      <w:r>
        <w:rPr>
          <w:b/>
          <w:szCs w:val="24"/>
          <w:lang w:eastAsia="lt-LT"/>
        </w:rPr>
        <w:t>SPRENDIMAS</w:t>
      </w:r>
    </w:p>
    <w:p>
      <w:pPr>
        <w:pStyle w:val="Normal"/>
        <w:jc w:val="center"/>
        <w:rPr>
          <w:b/>
          <w:b/>
          <w:szCs w:val="24"/>
          <w:lang w:eastAsia="lt-LT"/>
        </w:rPr>
      </w:pPr>
      <w:r>
        <w:rPr>
          <w:b/>
          <w:szCs w:val="24"/>
          <w:lang w:eastAsia="lt-LT"/>
        </w:rPr>
        <w:t>DĖL KĖDAINIŲ RAJONO SAVIVALDYBĖS TARYBOS 2024 M. VASARIO 15 D. SPRENDIMO NR. TS-7 „DĖL KĖDAINIŲ RAJONO SAVIVALDYBĖS 2024 METŲ BIUDŽETO TVIRTINIMO“ PAKEITIMO</w:t>
      </w:r>
    </w:p>
    <w:p>
      <w:pPr>
        <w:pStyle w:val="Normal"/>
        <w:jc w:val="center"/>
        <w:rPr>
          <w:b/>
          <w:b/>
          <w:szCs w:val="24"/>
          <w:lang w:eastAsia="lt-LT"/>
        </w:rPr>
      </w:pPr>
      <w:r>
        <w:rPr>
          <w:b/>
          <w:szCs w:val="24"/>
          <w:lang w:eastAsia="lt-LT"/>
        </w:rPr>
      </w:r>
    </w:p>
    <w:p>
      <w:pPr>
        <w:pStyle w:val="Normal"/>
        <w:jc w:val="center"/>
        <w:rPr>
          <w:szCs w:val="24"/>
          <w:lang w:eastAsia="lt-LT"/>
        </w:rPr>
      </w:pPr>
      <w:r>
        <w:rPr>
          <w:szCs w:val="24"/>
          <w:lang w:eastAsia="lt-LT"/>
        </w:rPr>
        <w:t>2024 m.                                  d. Nr. SP-</w:t>
      </w:r>
    </w:p>
    <w:p>
      <w:pPr>
        <w:pStyle w:val="Normal"/>
        <w:jc w:val="center"/>
        <w:rPr>
          <w:szCs w:val="24"/>
          <w:lang w:eastAsia="lt-LT"/>
        </w:rPr>
      </w:pPr>
      <w:r>
        <w:rPr>
          <w:szCs w:val="24"/>
          <w:lang w:eastAsia="lt-LT"/>
        </w:rPr>
        <w:t>Kėdainiai</w:t>
      </w:r>
    </w:p>
    <w:p>
      <w:pPr>
        <w:pStyle w:val="Normal"/>
        <w:jc w:val="center"/>
        <w:rPr>
          <w:szCs w:val="24"/>
          <w:lang w:eastAsia="lt-LT"/>
        </w:rPr>
      </w:pPr>
      <w:r>
        <w:rPr>
          <w:szCs w:val="24"/>
          <w:lang w:eastAsia="lt-LT"/>
        </w:rPr>
      </w:r>
    </w:p>
    <w:p>
      <w:pPr>
        <w:pStyle w:val="Normal"/>
        <w:ind w:firstLine="720"/>
        <w:jc w:val="both"/>
        <w:rPr>
          <w:szCs w:val="24"/>
          <w:lang w:eastAsia="lt-LT"/>
        </w:rPr>
      </w:pPr>
      <w:r>
        <w:rPr>
          <w:szCs w:val="24"/>
          <w:lang w:eastAsia="lt-LT"/>
        </w:rPr>
        <w:t>Kėdainių rajono savivaldybės taryba  n u s p r e n d ž i a:</w:t>
      </w:r>
    </w:p>
    <w:p>
      <w:pPr>
        <w:pStyle w:val="Normal"/>
        <w:ind w:firstLine="720"/>
        <w:jc w:val="both"/>
        <w:rPr/>
      </w:pPr>
      <w:r>
        <w:rPr>
          <w:szCs w:val="24"/>
          <w:lang w:eastAsia="lt-LT"/>
        </w:rPr>
        <w:t>1. Pakeisti Kėdainių rajono savivaldybės tarybos 2024 m. vasario 15 d. sprendimą Nr. TS-7 „Dėl Kėdainių rajono savivaldybės 2024 metų biudžeto tvirtinimo“:</w:t>
      </w:r>
    </w:p>
    <w:p>
      <w:pPr>
        <w:pStyle w:val="Normal"/>
        <w:spacing w:lineRule="auto" w:line="256"/>
        <w:ind w:left="709" w:hanging="0"/>
        <w:jc w:val="both"/>
        <w:rPr>
          <w:szCs w:val="24"/>
        </w:rPr>
      </w:pPr>
      <w:r>
        <w:rPr>
          <w:szCs w:val="24"/>
        </w:rPr>
        <w:t>1.1. Išdėstyti 1.1 papunktį taip:</w:t>
      </w:r>
    </w:p>
    <w:p>
      <w:pPr>
        <w:pStyle w:val="Normal"/>
        <w:ind w:firstLine="720"/>
        <w:jc w:val="both"/>
        <w:rPr/>
      </w:pPr>
      <w:r>
        <w:rPr>
          <w:szCs w:val="24"/>
          <w:lang w:eastAsia="lt-LT"/>
        </w:rPr>
        <w:t>„</w:t>
      </w:r>
      <w:r>
        <w:rPr>
          <w:szCs w:val="24"/>
          <w:lang w:eastAsia="lt-LT"/>
        </w:rPr>
        <w:t xml:space="preserve">1.1. Kėdainių rajono savivaldybės 2024 metų biudžeto pajamas – </w:t>
      </w:r>
      <w:r>
        <w:rPr>
          <w:strike/>
          <w:szCs w:val="24"/>
          <w:lang w:eastAsia="lt-LT"/>
        </w:rPr>
        <w:t>90 048,9 tūkst. Eur</w:t>
      </w:r>
      <w:r>
        <w:rPr>
          <w:szCs w:val="24"/>
          <w:lang w:eastAsia="lt-LT"/>
        </w:rPr>
        <w:t xml:space="preserve"> </w:t>
      </w:r>
      <w:r>
        <w:rPr>
          <w:b/>
          <w:bCs/>
          <w:szCs w:val="24"/>
          <w:lang w:eastAsia="lt-LT"/>
        </w:rPr>
        <w:t>91 272,4 tūkst. Eur</w:t>
      </w:r>
      <w:r>
        <w:rPr>
          <w:szCs w:val="24"/>
          <w:lang w:eastAsia="lt-LT"/>
        </w:rPr>
        <w:t xml:space="preserve">, finansinių įsipareigojimų prisiėmimo (skolinimosi) pajamas ‒ 2 138,7 tūkst. Eur (1 priedas), iš jų:“    </w:t>
      </w:r>
    </w:p>
    <w:p>
      <w:pPr>
        <w:pStyle w:val="Normal"/>
        <w:spacing w:lineRule="auto" w:line="256"/>
        <w:ind w:left="680" w:hanging="0"/>
        <w:jc w:val="both"/>
        <w:rPr/>
      </w:pPr>
      <w:r>
        <w:rPr>
          <w:szCs w:val="24"/>
        </w:rPr>
        <w:t xml:space="preserve">1.1.1.  Išdėstyti 1 priedą „Kėdainių rajono savivaldybės 2024 metų biudžeto pajamos“ </w:t>
      </w:r>
    </w:p>
    <w:p>
      <w:pPr>
        <w:pStyle w:val="Normal"/>
        <w:spacing w:lineRule="auto" w:line="256"/>
        <w:jc w:val="both"/>
        <w:rPr>
          <w:szCs w:val="24"/>
        </w:rPr>
      </w:pPr>
      <w:r>
        <w:rPr>
          <w:szCs w:val="24"/>
        </w:rPr>
        <w:t>nauja redakcija (pridedama).</w:t>
      </w:r>
    </w:p>
    <w:p>
      <w:pPr>
        <w:pStyle w:val="Normal"/>
        <w:spacing w:lineRule="auto" w:line="256"/>
        <w:ind w:left="680" w:hanging="0"/>
        <w:jc w:val="both"/>
        <w:rPr/>
      </w:pPr>
      <w:r>
        <w:rPr>
          <w:szCs w:val="24"/>
        </w:rPr>
        <w:t>1.2. Išdėstyti 1.1.1 papunktį taip:</w:t>
      </w:r>
    </w:p>
    <w:p>
      <w:pPr>
        <w:pStyle w:val="Normal"/>
        <w:ind w:firstLine="680"/>
        <w:jc w:val="both"/>
        <w:rPr/>
      </w:pPr>
      <w:r>
        <w:rPr>
          <w:szCs w:val="24"/>
        </w:rPr>
        <w:t>„</w:t>
      </w:r>
      <w:r>
        <w:rPr>
          <w:szCs w:val="24"/>
          <w:lang w:eastAsia="lt-LT"/>
        </w:rPr>
        <w:t xml:space="preserve">1.1.1. Iš biudžeto išlaikomų įstaigų 2024 metų pajamas už prekes ir paslaugas, už ilgalaikio ir trumpalaikio materialiojo turto nuomą ir už išlaikymą švietimo, socialinės apsaugos ir kitose  įstaigose – </w:t>
      </w:r>
      <w:r>
        <w:rPr>
          <w:strike/>
          <w:szCs w:val="24"/>
          <w:lang w:eastAsia="lt-LT"/>
        </w:rPr>
        <w:t>2 620,5 tūkst. Eur</w:t>
      </w:r>
      <w:r>
        <w:rPr>
          <w:szCs w:val="24"/>
          <w:lang w:eastAsia="lt-LT"/>
        </w:rPr>
        <w:t xml:space="preserve"> </w:t>
      </w:r>
      <w:r>
        <w:rPr>
          <w:b/>
          <w:bCs/>
          <w:szCs w:val="24"/>
          <w:lang w:eastAsia="lt-LT"/>
        </w:rPr>
        <w:t>2 700,0 tūkst. Eur</w:t>
      </w:r>
      <w:r>
        <w:rPr>
          <w:szCs w:val="24"/>
          <w:lang w:eastAsia="lt-LT"/>
        </w:rPr>
        <w:t xml:space="preserve"> (2 priedas), iš jų:</w:t>
      </w:r>
    </w:p>
    <w:p>
      <w:pPr>
        <w:pStyle w:val="Normal"/>
        <w:ind w:firstLine="680"/>
        <w:jc w:val="both"/>
        <w:rPr/>
      </w:pPr>
      <w:r>
        <w:rPr>
          <w:szCs w:val="24"/>
          <w:lang w:eastAsia="lt-LT"/>
        </w:rPr>
        <w:t xml:space="preserve">1.1.1.1. pajamas už prekes ir paslaugas – </w:t>
      </w:r>
      <w:r>
        <w:rPr>
          <w:strike/>
          <w:szCs w:val="24"/>
          <w:lang w:eastAsia="lt-LT"/>
        </w:rPr>
        <w:t>305,7 tūkst. Eur</w:t>
      </w:r>
      <w:r>
        <w:rPr>
          <w:szCs w:val="24"/>
          <w:lang w:eastAsia="lt-LT"/>
        </w:rPr>
        <w:t xml:space="preserve"> </w:t>
      </w:r>
      <w:r>
        <w:rPr>
          <w:b/>
          <w:bCs/>
          <w:szCs w:val="24"/>
          <w:lang w:eastAsia="lt-LT"/>
        </w:rPr>
        <w:t>311,7 tūkst. Eur</w:t>
      </w:r>
      <w:r>
        <w:rPr>
          <w:szCs w:val="24"/>
          <w:lang w:eastAsia="lt-LT"/>
        </w:rPr>
        <w:t>;</w:t>
      </w:r>
    </w:p>
    <w:p>
      <w:pPr>
        <w:pStyle w:val="Normal"/>
        <w:ind w:firstLine="680"/>
        <w:jc w:val="both"/>
        <w:rPr/>
      </w:pPr>
      <w:r>
        <w:rPr>
          <w:szCs w:val="24"/>
          <w:lang w:eastAsia="lt-LT"/>
        </w:rPr>
        <w:t xml:space="preserve">1.1.1.2. pajamas už  ilgalaikio ir trumpalaikio materialiojo turto nuomą ‒ </w:t>
      </w:r>
      <w:r>
        <w:rPr>
          <w:strike/>
          <w:szCs w:val="24"/>
          <w:lang w:eastAsia="lt-LT"/>
        </w:rPr>
        <w:t>151,6 tūkst. Eur</w:t>
      </w:r>
      <w:r>
        <w:rPr>
          <w:szCs w:val="24"/>
          <w:lang w:eastAsia="lt-LT"/>
        </w:rPr>
        <w:t xml:space="preserve"> </w:t>
      </w:r>
      <w:r>
        <w:rPr>
          <w:b/>
          <w:bCs/>
          <w:szCs w:val="24"/>
          <w:lang w:eastAsia="lt-LT"/>
        </w:rPr>
        <w:t>186,6 tūkst. Eur</w:t>
      </w:r>
      <w:r>
        <w:rPr>
          <w:szCs w:val="24"/>
          <w:lang w:eastAsia="lt-LT"/>
        </w:rPr>
        <w:t>;</w:t>
      </w:r>
    </w:p>
    <w:p>
      <w:pPr>
        <w:pStyle w:val="Normal"/>
        <w:ind w:firstLine="680"/>
        <w:jc w:val="both"/>
        <w:rPr/>
      </w:pPr>
      <w:r>
        <w:rPr>
          <w:szCs w:val="24"/>
          <w:lang w:eastAsia="lt-LT"/>
        </w:rPr>
        <w:t xml:space="preserve">1.1.1.3. pajamas už išlaikymą švietimo, socialinės apsaugos ir kitose įstaigose – </w:t>
      </w:r>
      <w:r>
        <w:rPr>
          <w:strike/>
          <w:szCs w:val="24"/>
          <w:lang w:eastAsia="lt-LT"/>
        </w:rPr>
        <w:t>2063,2 tūkst. Eur</w:t>
      </w:r>
      <w:r>
        <w:rPr>
          <w:szCs w:val="24"/>
          <w:lang w:eastAsia="lt-LT"/>
        </w:rPr>
        <w:t xml:space="preserve"> </w:t>
      </w:r>
      <w:r>
        <w:rPr>
          <w:b/>
          <w:bCs/>
          <w:szCs w:val="24"/>
          <w:lang w:eastAsia="lt-LT"/>
        </w:rPr>
        <w:t>2 101,7 tūkst. Eur</w:t>
      </w:r>
      <w:r>
        <w:rPr>
          <w:szCs w:val="24"/>
          <w:lang w:eastAsia="lt-LT"/>
        </w:rPr>
        <w:t>;</w:t>
      </w:r>
    </w:p>
    <w:p>
      <w:pPr>
        <w:pStyle w:val="Normal"/>
        <w:ind w:firstLine="680"/>
        <w:jc w:val="both"/>
        <w:rPr>
          <w:szCs w:val="24"/>
          <w:lang w:eastAsia="lt-LT"/>
        </w:rPr>
      </w:pPr>
      <w:r>
        <w:rPr>
          <w:szCs w:val="24"/>
          <w:lang w:eastAsia="lt-LT"/>
        </w:rPr>
        <w:t>1.1.1.4. pajamas už infrastruktūros plėtrą – 100,0 tūkst. Eur.“</w:t>
      </w:r>
    </w:p>
    <w:p>
      <w:pPr>
        <w:pStyle w:val="Normal"/>
        <w:spacing w:lineRule="auto" w:line="256"/>
        <w:ind w:firstLine="680"/>
        <w:jc w:val="both"/>
        <w:rPr>
          <w:szCs w:val="24"/>
        </w:rPr>
      </w:pPr>
      <w:r>
        <w:rPr>
          <w:szCs w:val="24"/>
          <w:lang w:eastAsia="lt-LT"/>
        </w:rPr>
        <w:t xml:space="preserve">1.2.1. </w:t>
      </w:r>
      <w:r>
        <w:rPr>
          <w:szCs w:val="24"/>
        </w:rPr>
        <w:t>Išdėstyti 2 priedą „Iš biudžeto išlaikomų įstaigų 2024 metų pajamos už prekes ir  paslaugas, už ilgalaikio ir trumpalaikio materialiojo turto nuomą ir už išlaikymą švietimo, socialinės apsaugos ir kitose įstaigose“ nauja redakcija (pridedama).</w:t>
      </w:r>
    </w:p>
    <w:p>
      <w:pPr>
        <w:pStyle w:val="Normal"/>
        <w:spacing w:lineRule="auto" w:line="256"/>
        <w:ind w:left="680" w:hanging="0"/>
        <w:jc w:val="both"/>
        <w:rPr/>
      </w:pPr>
      <w:r>
        <w:rPr>
          <w:szCs w:val="24"/>
        </w:rPr>
        <w:t>1.3. Išdėstyti 1.2 papunktį taip:</w:t>
      </w:r>
    </w:p>
    <w:p>
      <w:pPr>
        <w:pStyle w:val="Normal"/>
        <w:ind w:firstLine="680"/>
        <w:jc w:val="both"/>
        <w:rPr>
          <w:szCs w:val="24"/>
          <w:lang w:eastAsia="lt-LT"/>
        </w:rPr>
      </w:pPr>
      <w:r>
        <w:rPr>
          <w:szCs w:val="24"/>
        </w:rPr>
        <w:t>„</w:t>
      </w:r>
      <w:r>
        <w:rPr>
          <w:szCs w:val="24"/>
        </w:rPr>
        <w:t xml:space="preserve">1.2. Kėdainių rajono savivaldybės 2024 metų biudžeto asignavimus –                   </w:t>
      </w:r>
      <w:r>
        <w:rPr>
          <w:strike/>
          <w:szCs w:val="24"/>
        </w:rPr>
        <w:t>99435,4 tūkst. Eur</w:t>
      </w:r>
      <w:r>
        <w:rPr>
          <w:szCs w:val="24"/>
        </w:rPr>
        <w:t xml:space="preserve"> </w:t>
      </w:r>
      <w:r>
        <w:rPr>
          <w:b/>
          <w:bCs/>
          <w:szCs w:val="24"/>
        </w:rPr>
        <w:t>100 666,9 tūkst.</w:t>
      </w:r>
      <w:r>
        <w:rPr>
          <w:b/>
          <w:bCs/>
          <w:szCs w:val="24"/>
          <w:lang w:eastAsia="lt-LT"/>
        </w:rPr>
        <w:t xml:space="preserve"> Eur</w:t>
      </w:r>
      <w:r>
        <w:rPr>
          <w:szCs w:val="24"/>
          <w:lang w:eastAsia="lt-LT"/>
        </w:rPr>
        <w:t>, iš jų:“</w:t>
      </w:r>
    </w:p>
    <w:p>
      <w:pPr>
        <w:pStyle w:val="Normal"/>
        <w:spacing w:lineRule="auto" w:line="256"/>
        <w:ind w:left="680" w:hanging="0"/>
        <w:jc w:val="both"/>
        <w:rPr>
          <w:szCs w:val="24"/>
        </w:rPr>
      </w:pPr>
      <w:r>
        <w:rPr>
          <w:szCs w:val="24"/>
          <w:lang w:eastAsia="lt-LT"/>
        </w:rPr>
        <w:t xml:space="preserve">1.4. </w:t>
      </w:r>
      <w:r>
        <w:rPr>
          <w:szCs w:val="24"/>
        </w:rPr>
        <w:t>Išdėstyti 1.2.1 papunktį taip:</w:t>
      </w:r>
    </w:p>
    <w:p>
      <w:pPr>
        <w:pStyle w:val="Normal"/>
        <w:ind w:firstLine="680"/>
        <w:jc w:val="both"/>
        <w:rPr/>
      </w:pPr>
      <w:r>
        <w:rPr>
          <w:szCs w:val="24"/>
        </w:rPr>
        <w:t>„</w:t>
      </w:r>
      <w:r>
        <w:rPr>
          <w:szCs w:val="24"/>
          <w:lang w:eastAsia="lt-LT"/>
        </w:rPr>
        <w:t xml:space="preserve">1.2.1. asignavimus savarankiškoms funkcijoms atlikti – </w:t>
      </w:r>
      <w:r>
        <w:rPr>
          <w:strike/>
          <w:szCs w:val="24"/>
          <w:lang w:eastAsia="lt-LT"/>
        </w:rPr>
        <w:t>59 839,5 tūkst. Eur</w:t>
      </w:r>
      <w:r>
        <w:rPr>
          <w:szCs w:val="24"/>
          <w:lang w:eastAsia="lt-LT"/>
        </w:rPr>
        <w:t xml:space="preserve">         </w:t>
      </w:r>
      <w:r>
        <w:rPr>
          <w:b/>
          <w:bCs/>
          <w:szCs w:val="24"/>
          <w:lang w:eastAsia="lt-LT"/>
        </w:rPr>
        <w:t>59 847,5 tūkst. Eur</w:t>
      </w:r>
      <w:r>
        <w:rPr>
          <w:szCs w:val="24"/>
          <w:lang w:eastAsia="lt-LT"/>
        </w:rPr>
        <w:t xml:space="preserve"> (3 priedas);“</w:t>
      </w:r>
    </w:p>
    <w:p>
      <w:pPr>
        <w:pStyle w:val="Normal"/>
        <w:spacing w:lineRule="auto" w:line="256"/>
        <w:ind w:firstLine="680"/>
        <w:jc w:val="both"/>
        <w:rPr/>
      </w:pPr>
      <w:r>
        <w:rPr>
          <w:szCs w:val="24"/>
          <w:lang w:eastAsia="lt-LT"/>
        </w:rPr>
        <w:t xml:space="preserve">1.4.1. </w:t>
      </w:r>
      <w:r>
        <w:rPr>
          <w:szCs w:val="24"/>
        </w:rPr>
        <w:t>Išdėstyti 3 priedą „Kėdainių rajono savivaldybės 2024 metų biudžeto asignavimai  savarankiškoms funkcijoms atlikti“ nauja redakcija (pridedama).</w:t>
      </w:r>
    </w:p>
    <w:p>
      <w:pPr>
        <w:pStyle w:val="Normal"/>
        <w:ind w:firstLine="680"/>
        <w:jc w:val="both"/>
        <w:rPr>
          <w:szCs w:val="24"/>
        </w:rPr>
      </w:pPr>
      <w:r>
        <w:rPr>
          <w:szCs w:val="24"/>
          <w:lang w:eastAsia="lt-LT"/>
        </w:rPr>
        <w:t xml:space="preserve">1.5. </w:t>
      </w:r>
      <w:r>
        <w:rPr>
          <w:szCs w:val="24"/>
        </w:rPr>
        <w:t>Išdėstyti 1.2.2 papunktį taip:</w:t>
      </w:r>
    </w:p>
    <w:p>
      <w:pPr>
        <w:pStyle w:val="Normal"/>
        <w:ind w:firstLine="680"/>
        <w:jc w:val="both"/>
        <w:rPr>
          <w:szCs w:val="24"/>
          <w:lang w:eastAsia="lt-LT"/>
        </w:rPr>
      </w:pPr>
      <w:r>
        <w:rPr>
          <w:szCs w:val="24"/>
        </w:rPr>
        <w:t>„</w:t>
      </w:r>
      <w:r>
        <w:rPr>
          <w:szCs w:val="24"/>
          <w:lang w:eastAsia="lt-LT"/>
        </w:rPr>
        <w:t xml:space="preserve">1.2.2. asignavimus įstaigoms iš pajamų, gautų už prekes ir paslaugas – </w:t>
      </w:r>
      <w:r>
        <w:rPr>
          <w:strike/>
          <w:szCs w:val="24"/>
          <w:lang w:eastAsia="lt-LT"/>
        </w:rPr>
        <w:t>461,5 tūkst. Eur</w:t>
      </w:r>
      <w:r>
        <w:rPr>
          <w:szCs w:val="24"/>
          <w:lang w:eastAsia="lt-LT"/>
        </w:rPr>
        <w:t xml:space="preserve"> </w:t>
      </w:r>
      <w:r>
        <w:rPr>
          <w:b/>
          <w:bCs/>
          <w:szCs w:val="24"/>
          <w:lang w:eastAsia="lt-LT"/>
        </w:rPr>
        <w:t>467,5 tūkst. Eur</w:t>
      </w:r>
      <w:r>
        <w:rPr>
          <w:szCs w:val="24"/>
          <w:lang w:eastAsia="lt-LT"/>
        </w:rPr>
        <w:t xml:space="preserve">       (4 priedas);“</w:t>
      </w:r>
    </w:p>
    <w:p>
      <w:pPr>
        <w:pStyle w:val="Normal"/>
        <w:spacing w:lineRule="auto" w:line="256"/>
        <w:ind w:firstLine="680"/>
        <w:jc w:val="both"/>
        <w:rPr/>
      </w:pPr>
      <w:r>
        <w:rPr>
          <w:szCs w:val="24"/>
          <w:lang w:eastAsia="lt-LT"/>
        </w:rPr>
        <w:t xml:space="preserve">1.5.1. </w:t>
      </w:r>
      <w:r>
        <w:rPr>
          <w:szCs w:val="24"/>
        </w:rPr>
        <w:t>Išdėstyti 4 priedą „2024 metų asignavimai įstaigoms iš pajamų, gautų už prekes ir paslaugas“ nauja redakcija (pridedama).</w:t>
      </w:r>
    </w:p>
    <w:p>
      <w:pPr>
        <w:pStyle w:val="Normal"/>
        <w:ind w:firstLine="680"/>
        <w:jc w:val="both"/>
        <w:rPr>
          <w:szCs w:val="24"/>
        </w:rPr>
      </w:pPr>
      <w:r>
        <w:rPr>
          <w:szCs w:val="24"/>
          <w:lang w:eastAsia="lt-LT"/>
        </w:rPr>
        <w:t xml:space="preserve">1.6. </w:t>
      </w:r>
      <w:r>
        <w:rPr>
          <w:szCs w:val="24"/>
        </w:rPr>
        <w:t>Išdėstyti 1.2.3 papunktį taip:</w:t>
      </w:r>
    </w:p>
    <w:p>
      <w:pPr>
        <w:pStyle w:val="Normal"/>
        <w:ind w:firstLine="680"/>
        <w:jc w:val="both"/>
        <w:rPr/>
      </w:pPr>
      <w:r>
        <w:rPr>
          <w:szCs w:val="24"/>
        </w:rPr>
        <w:t>„</w:t>
      </w:r>
      <w:r>
        <w:rPr>
          <w:szCs w:val="24"/>
          <w:lang w:eastAsia="lt-LT"/>
        </w:rPr>
        <w:t xml:space="preserve">1.2.3. asignavimus įstaigoms iš pajamų, gautų už ilgalaikio ir trumpalaikio materialiojo turto nuomą – </w:t>
      </w:r>
      <w:r>
        <w:rPr>
          <w:strike/>
          <w:szCs w:val="24"/>
          <w:lang w:eastAsia="lt-LT"/>
        </w:rPr>
        <w:t>232,3 tūkst. Eur</w:t>
      </w:r>
      <w:r>
        <w:rPr>
          <w:szCs w:val="24"/>
          <w:lang w:eastAsia="lt-LT"/>
        </w:rPr>
        <w:t xml:space="preserve"> </w:t>
      </w:r>
      <w:r>
        <w:rPr>
          <w:b/>
          <w:bCs/>
          <w:szCs w:val="24"/>
          <w:lang w:eastAsia="lt-LT"/>
        </w:rPr>
        <w:t>267,3 tūkst. Eur</w:t>
      </w:r>
      <w:r>
        <w:rPr>
          <w:szCs w:val="24"/>
          <w:lang w:eastAsia="lt-LT"/>
        </w:rPr>
        <w:t xml:space="preserve"> (5 priedas);“</w:t>
      </w:r>
    </w:p>
    <w:p>
      <w:pPr>
        <w:pStyle w:val="Normal"/>
        <w:spacing w:lineRule="auto" w:line="256"/>
        <w:ind w:firstLine="680"/>
        <w:jc w:val="both"/>
        <w:rPr/>
      </w:pPr>
      <w:r>
        <w:rPr>
          <w:szCs w:val="24"/>
          <w:lang w:eastAsia="lt-LT"/>
        </w:rPr>
        <w:t xml:space="preserve">1.6.1. </w:t>
      </w:r>
      <w:r>
        <w:rPr>
          <w:szCs w:val="24"/>
        </w:rPr>
        <w:t>Išdėstyti 5 priedą „2024 metų asignavimai įstaigoms iš pajamų, gautų už ilgalaikio ir trumpalaikio materialiojo turto nuomą“ nauja redakcija (pridedama).</w:t>
      </w:r>
    </w:p>
    <w:p>
      <w:pPr>
        <w:pStyle w:val="Normal"/>
        <w:ind w:firstLine="680"/>
        <w:jc w:val="both"/>
        <w:rPr/>
      </w:pPr>
      <w:r>
        <w:rPr>
          <w:szCs w:val="24"/>
          <w:lang w:eastAsia="lt-LT"/>
        </w:rPr>
        <w:t xml:space="preserve">1.7. </w:t>
      </w:r>
      <w:r>
        <w:rPr>
          <w:szCs w:val="24"/>
        </w:rPr>
        <w:t>Išdėstyti 1.2.4 papunktį taip:</w:t>
      </w:r>
    </w:p>
    <w:p>
      <w:pPr>
        <w:pStyle w:val="Normal"/>
        <w:ind w:firstLine="680"/>
        <w:jc w:val="both"/>
        <w:rPr/>
      </w:pPr>
      <w:r>
        <w:rPr>
          <w:szCs w:val="24"/>
        </w:rPr>
        <w:t>„</w:t>
      </w:r>
      <w:r>
        <w:rPr>
          <w:szCs w:val="24"/>
          <w:lang w:eastAsia="lt-LT"/>
        </w:rPr>
        <w:t xml:space="preserve">1.2.4. asignavimus įstaigoms iš pajamų, gautų už išlaikymą švietimo, socialinės apsaugos ir kitose įstaigose – </w:t>
      </w:r>
      <w:r>
        <w:rPr>
          <w:strike/>
          <w:szCs w:val="24"/>
          <w:lang w:eastAsia="lt-LT"/>
        </w:rPr>
        <w:t>2345,3 tūkst. Eur</w:t>
      </w:r>
      <w:r>
        <w:rPr>
          <w:szCs w:val="24"/>
          <w:lang w:eastAsia="lt-LT"/>
        </w:rPr>
        <w:t xml:space="preserve"> </w:t>
      </w:r>
      <w:r>
        <w:rPr>
          <w:b/>
          <w:bCs/>
          <w:szCs w:val="24"/>
          <w:lang w:eastAsia="lt-LT"/>
        </w:rPr>
        <w:t>2 383,8 tūkst. Eur</w:t>
      </w:r>
      <w:r>
        <w:rPr>
          <w:szCs w:val="24"/>
          <w:lang w:eastAsia="lt-LT"/>
        </w:rPr>
        <w:t xml:space="preserve"> (6 priedas);“</w:t>
      </w:r>
    </w:p>
    <w:p>
      <w:pPr>
        <w:pStyle w:val="Normal"/>
        <w:spacing w:lineRule="auto" w:line="256"/>
        <w:ind w:firstLine="680"/>
        <w:jc w:val="both"/>
        <w:rPr/>
      </w:pPr>
      <w:r>
        <w:rPr>
          <w:szCs w:val="24"/>
          <w:lang w:eastAsia="lt-LT"/>
        </w:rPr>
        <w:t xml:space="preserve">1.7.1. </w:t>
      </w:r>
      <w:r>
        <w:rPr>
          <w:szCs w:val="24"/>
        </w:rPr>
        <w:t>Išdėstyti 6 priedą „2024 metų asignavimai įstaigoms iš pajamų, gautų už išlaikymą švietimo, socialinės apsaugos ir kitose įstaigose“ nauja redakcija (pridedama).</w:t>
      </w:r>
    </w:p>
    <w:p>
      <w:pPr>
        <w:pStyle w:val="Normal"/>
        <w:ind w:firstLine="680"/>
        <w:jc w:val="both"/>
        <w:rPr>
          <w:szCs w:val="24"/>
        </w:rPr>
      </w:pPr>
      <w:r>
        <w:rPr>
          <w:szCs w:val="24"/>
          <w:lang w:eastAsia="lt-LT"/>
        </w:rPr>
        <w:t xml:space="preserve">1.8. </w:t>
      </w:r>
      <w:r>
        <w:rPr>
          <w:szCs w:val="24"/>
        </w:rPr>
        <w:t>Išdėstyti 1.2.5 papunktį taip:</w:t>
      </w:r>
    </w:p>
    <w:p>
      <w:pPr>
        <w:pStyle w:val="Normal"/>
        <w:ind w:firstLine="680"/>
        <w:jc w:val="both"/>
        <w:rPr>
          <w:szCs w:val="24"/>
          <w:lang w:eastAsia="lt-LT"/>
        </w:rPr>
      </w:pPr>
      <w:r>
        <w:rPr>
          <w:szCs w:val="24"/>
        </w:rPr>
        <w:t>„</w:t>
      </w:r>
      <w:r>
        <w:rPr>
          <w:szCs w:val="24"/>
          <w:lang w:eastAsia="lt-LT"/>
        </w:rPr>
        <w:t xml:space="preserve">1.2.5. asignavimus  projektams finansuoti Europos Sąjungos lėšomis  – </w:t>
      </w:r>
      <w:r>
        <w:rPr>
          <w:strike/>
          <w:szCs w:val="24"/>
          <w:lang w:eastAsia="lt-LT"/>
        </w:rPr>
        <w:t>1 909,4 tūkst. Eur</w:t>
      </w:r>
      <w:r>
        <w:rPr>
          <w:szCs w:val="24"/>
          <w:lang w:eastAsia="lt-LT"/>
        </w:rPr>
        <w:t xml:space="preserve"> </w:t>
      </w:r>
      <w:r>
        <w:rPr>
          <w:b/>
          <w:bCs/>
          <w:szCs w:val="24"/>
          <w:lang w:eastAsia="lt-LT"/>
        </w:rPr>
        <w:t>2 622,7 tūkst. Eur</w:t>
      </w:r>
      <w:r>
        <w:rPr>
          <w:szCs w:val="24"/>
          <w:lang w:eastAsia="lt-LT"/>
        </w:rPr>
        <w:t xml:space="preserve"> (7 priedas);“</w:t>
      </w:r>
    </w:p>
    <w:p>
      <w:pPr>
        <w:pStyle w:val="Normal"/>
        <w:spacing w:lineRule="auto" w:line="256"/>
        <w:ind w:firstLine="680"/>
        <w:jc w:val="both"/>
        <w:rPr/>
      </w:pPr>
      <w:r>
        <w:rPr>
          <w:szCs w:val="24"/>
          <w:lang w:eastAsia="lt-LT"/>
        </w:rPr>
        <w:t xml:space="preserve">1.8.1. </w:t>
      </w:r>
      <w:r>
        <w:rPr>
          <w:szCs w:val="24"/>
        </w:rPr>
        <w:t>Išdėstyti 7 priedą „Kėdainių rajono savivaldybės 2024 metų biudžeto asignavimai projektams finansuoti Europos Sąjungos lėšomis“ nauja redakcija (pridedama).</w:t>
      </w:r>
    </w:p>
    <w:p>
      <w:pPr>
        <w:pStyle w:val="Normal"/>
        <w:ind w:firstLine="680"/>
        <w:jc w:val="both"/>
        <w:rPr/>
      </w:pPr>
      <w:r>
        <w:rPr>
          <w:szCs w:val="24"/>
        </w:rPr>
        <w:t>1.9. Išdėstyti 1.2.6 papunktį taip:</w:t>
      </w:r>
    </w:p>
    <w:p>
      <w:pPr>
        <w:pStyle w:val="Normal"/>
        <w:ind w:firstLine="680"/>
        <w:jc w:val="both"/>
        <w:rPr/>
      </w:pPr>
      <w:r>
        <w:rPr>
          <w:szCs w:val="24"/>
        </w:rPr>
        <w:t>„</w:t>
      </w:r>
      <w:r>
        <w:rPr>
          <w:szCs w:val="24"/>
          <w:lang w:eastAsia="lt-LT"/>
        </w:rPr>
        <w:t xml:space="preserve">1.2.6. valstybės biudžeto specialios tikslinės dotacijos savivaldybės biudžetui valstybinėms (valstybės perduotoms savivaldybei) funkcijoms atlikti asignavimus – </w:t>
      </w:r>
      <w:r>
        <w:rPr>
          <w:strike/>
          <w:szCs w:val="24"/>
          <w:lang w:eastAsia="lt-LT"/>
        </w:rPr>
        <w:t>7 006,6 tūkst. Eur</w:t>
      </w:r>
      <w:r>
        <w:rPr>
          <w:szCs w:val="24"/>
          <w:lang w:eastAsia="lt-LT"/>
        </w:rPr>
        <w:t xml:space="preserve"> </w:t>
      </w:r>
      <w:r>
        <w:rPr>
          <w:b/>
          <w:bCs/>
          <w:szCs w:val="24"/>
          <w:lang w:eastAsia="lt-LT"/>
        </w:rPr>
        <w:t>6 972,5 tūkst. Eur</w:t>
      </w:r>
      <w:r>
        <w:rPr>
          <w:szCs w:val="24"/>
          <w:lang w:eastAsia="lt-LT"/>
        </w:rPr>
        <w:t xml:space="preserve"> (8 priedas);“</w:t>
      </w:r>
    </w:p>
    <w:p>
      <w:pPr>
        <w:pStyle w:val="Normal"/>
        <w:spacing w:lineRule="auto" w:line="256"/>
        <w:ind w:firstLine="680"/>
        <w:jc w:val="both"/>
        <w:rPr/>
      </w:pPr>
      <w:r>
        <w:rPr>
          <w:szCs w:val="24"/>
          <w:lang w:eastAsia="lt-LT"/>
        </w:rPr>
        <w:t xml:space="preserve">1.9.1. </w:t>
      </w:r>
      <w:r>
        <w:rPr>
          <w:szCs w:val="24"/>
        </w:rPr>
        <w:t>Išdėstyti 8 priedą „2024 metų valstybės biudžeto specialios tikslinės dotacijos savivaldybės biudžetui valstybinėms (valstybės perduotoms savivaldybei) funkcijoms atlikti asignavimai“ nauja redakcija (pridedama).</w:t>
      </w:r>
    </w:p>
    <w:p>
      <w:pPr>
        <w:pStyle w:val="Normal"/>
        <w:ind w:firstLine="680"/>
        <w:jc w:val="both"/>
        <w:rPr/>
      </w:pPr>
      <w:r>
        <w:rPr>
          <w:szCs w:val="24"/>
          <w:lang w:eastAsia="lt-LT"/>
        </w:rPr>
        <w:t xml:space="preserve">1.10. </w:t>
      </w:r>
      <w:r>
        <w:rPr>
          <w:szCs w:val="24"/>
        </w:rPr>
        <w:t>Išdėstyti 1.2.7 papunktį taip:</w:t>
      </w:r>
    </w:p>
    <w:p>
      <w:pPr>
        <w:pStyle w:val="Normal"/>
        <w:spacing w:lineRule="auto" w:line="256"/>
        <w:ind w:firstLine="680"/>
        <w:jc w:val="both"/>
        <w:rPr/>
      </w:pPr>
      <w:r>
        <w:rPr>
          <w:szCs w:val="24"/>
        </w:rPr>
        <w:t>„</w:t>
      </w:r>
      <w:r>
        <w:rPr>
          <w:szCs w:val="24"/>
          <w:lang w:eastAsia="lt-LT"/>
        </w:rPr>
        <w:t>1.2.7. valstybės biudžeto specialios tikslinės dotacijos savivaldybės biudžetui ugdymo reikmėms finansuoti asignavimus – 21 858,1 tūkst. Eur (9 priedas);“</w:t>
      </w:r>
    </w:p>
    <w:p>
      <w:pPr>
        <w:pStyle w:val="Normal"/>
        <w:spacing w:lineRule="auto" w:line="256"/>
        <w:ind w:firstLine="680"/>
        <w:jc w:val="both"/>
        <w:rPr/>
      </w:pPr>
      <w:r>
        <w:rPr>
          <w:szCs w:val="24"/>
          <w:lang w:eastAsia="lt-LT"/>
        </w:rPr>
        <w:t xml:space="preserve">1.10.1. </w:t>
      </w:r>
      <w:r>
        <w:rPr>
          <w:szCs w:val="24"/>
        </w:rPr>
        <w:t>Išdėstyti 9 priedą „2024 metų valstybės biudžeto specialios tikslinės dotacijos savivaldybės biudžetui ugdymo reikmėms finansuoti asignavimai“ nauja redakcija (pridedama).</w:t>
      </w:r>
    </w:p>
    <w:p>
      <w:pPr>
        <w:pStyle w:val="Normal"/>
        <w:spacing w:lineRule="auto" w:line="256"/>
        <w:ind w:firstLine="680"/>
        <w:jc w:val="both"/>
        <w:rPr/>
      </w:pPr>
      <w:r>
        <w:rPr>
          <w:szCs w:val="24"/>
          <w:lang w:eastAsia="lt-LT"/>
        </w:rPr>
        <w:t xml:space="preserve">1.11. </w:t>
      </w:r>
      <w:r>
        <w:rPr>
          <w:szCs w:val="24"/>
        </w:rPr>
        <w:t>Išdėstyti 1.2.8 papunktį taip:</w:t>
      </w:r>
    </w:p>
    <w:p>
      <w:pPr>
        <w:pStyle w:val="Normal"/>
        <w:spacing w:lineRule="auto" w:line="256"/>
        <w:ind w:firstLine="680"/>
        <w:jc w:val="both"/>
        <w:rPr>
          <w:szCs w:val="24"/>
          <w:lang w:eastAsia="lt-LT"/>
        </w:rPr>
      </w:pPr>
      <w:r>
        <w:rPr>
          <w:szCs w:val="24"/>
        </w:rPr>
        <w:t>„</w:t>
      </w:r>
      <w:r>
        <w:rPr>
          <w:szCs w:val="24"/>
        </w:rPr>
        <w:t xml:space="preserve">1.2.8. </w:t>
      </w:r>
      <w:r>
        <w:rPr>
          <w:rFonts w:eastAsia="Calibri"/>
          <w:szCs w:val="24"/>
          <w:lang w:eastAsia="lt-LT"/>
        </w:rPr>
        <w:t xml:space="preserve">valstybės biudžeto specialios tikslinės dotacijos savivaldybės biudžetui kitus asignavimus – </w:t>
      </w:r>
      <w:r>
        <w:rPr>
          <w:rFonts w:eastAsia="Calibri"/>
          <w:strike/>
          <w:szCs w:val="24"/>
          <w:lang w:eastAsia="lt-LT"/>
        </w:rPr>
        <w:t>4 887,5 tūkst. Eur</w:t>
      </w:r>
      <w:r>
        <w:rPr>
          <w:rFonts w:eastAsia="Calibri"/>
          <w:szCs w:val="24"/>
          <w:lang w:eastAsia="lt-LT"/>
        </w:rPr>
        <w:t xml:space="preserve"> </w:t>
      </w:r>
      <w:r>
        <w:rPr>
          <w:rFonts w:eastAsia="Calibri"/>
          <w:b/>
          <w:bCs/>
          <w:szCs w:val="24"/>
          <w:lang w:eastAsia="lt-LT"/>
        </w:rPr>
        <w:t>5 348,8 tūkst. Eur</w:t>
      </w:r>
      <w:r>
        <w:rPr>
          <w:rFonts w:eastAsia="Calibri"/>
          <w:szCs w:val="24"/>
          <w:lang w:eastAsia="lt-LT"/>
        </w:rPr>
        <w:t xml:space="preserve"> (10 priedas);“</w:t>
      </w:r>
    </w:p>
    <w:p>
      <w:pPr>
        <w:pStyle w:val="Normal"/>
        <w:spacing w:lineRule="auto" w:line="256"/>
        <w:ind w:firstLine="680"/>
        <w:jc w:val="both"/>
        <w:rPr>
          <w:rFonts w:eastAsia="Calibri"/>
          <w:szCs w:val="24"/>
        </w:rPr>
      </w:pPr>
      <w:r>
        <w:rPr>
          <w:szCs w:val="24"/>
          <w:lang w:eastAsia="lt-LT"/>
        </w:rPr>
        <w:t xml:space="preserve">1.11.1. </w:t>
      </w:r>
      <w:r>
        <w:rPr>
          <w:szCs w:val="24"/>
        </w:rPr>
        <w:t xml:space="preserve">Išdėstyti 10 priedą „2024 metų valstybės biudžeto specialios tikslinės dotacijos savivaldybės biudžetui kiti asignavimai“ </w:t>
      </w:r>
      <w:r>
        <w:rPr>
          <w:rFonts w:eastAsia="Calibri"/>
          <w:szCs w:val="24"/>
        </w:rPr>
        <w:t>nauja redakcija (pridedama).</w:t>
      </w:r>
    </w:p>
    <w:p>
      <w:pPr>
        <w:pStyle w:val="Normal"/>
        <w:spacing w:lineRule="auto" w:line="256"/>
        <w:ind w:firstLine="680"/>
        <w:jc w:val="both"/>
        <w:rPr>
          <w:szCs w:val="24"/>
        </w:rPr>
      </w:pPr>
      <w:r>
        <w:rPr>
          <w:rFonts w:eastAsia="Calibri"/>
          <w:szCs w:val="24"/>
        </w:rPr>
        <w:t xml:space="preserve">1.12. </w:t>
      </w:r>
      <w:r>
        <w:rPr>
          <w:szCs w:val="24"/>
        </w:rPr>
        <w:t>Išdėstyti 1.2.9 papunktį taip:</w:t>
      </w:r>
    </w:p>
    <w:p>
      <w:pPr>
        <w:pStyle w:val="Normal"/>
        <w:spacing w:lineRule="auto" w:line="256"/>
        <w:ind w:firstLine="680"/>
        <w:jc w:val="both"/>
        <w:rPr/>
      </w:pPr>
      <w:r>
        <w:rPr>
          <w:szCs w:val="24"/>
        </w:rPr>
        <w:t>„</w:t>
      </w:r>
      <w:r>
        <w:rPr>
          <w:szCs w:val="24"/>
          <w:lang w:eastAsia="lt-LT"/>
        </w:rPr>
        <w:t xml:space="preserve">1.2.9. valstybės biudžeto dotacijos iš kitų valdymo lygių savivaldybės biudžetui projektams finansuoti  asignavimus – </w:t>
      </w:r>
      <w:r>
        <w:rPr>
          <w:strike/>
          <w:szCs w:val="24"/>
          <w:lang w:eastAsia="lt-LT"/>
        </w:rPr>
        <w:t>331,5 tūkst. Eur</w:t>
      </w:r>
      <w:r>
        <w:rPr>
          <w:szCs w:val="24"/>
          <w:lang w:eastAsia="lt-LT"/>
        </w:rPr>
        <w:t xml:space="preserve"> </w:t>
      </w:r>
      <w:r>
        <w:rPr>
          <w:b/>
          <w:bCs/>
          <w:szCs w:val="24"/>
          <w:lang w:eastAsia="lt-LT"/>
        </w:rPr>
        <w:t>335,0 tūkst. Eur</w:t>
      </w:r>
      <w:r>
        <w:rPr>
          <w:szCs w:val="24"/>
          <w:lang w:eastAsia="lt-LT"/>
        </w:rPr>
        <w:t xml:space="preserve"> (11 priedas);“</w:t>
      </w:r>
    </w:p>
    <w:p>
      <w:pPr>
        <w:pStyle w:val="Normal"/>
        <w:spacing w:lineRule="auto" w:line="256"/>
        <w:ind w:firstLine="680"/>
        <w:jc w:val="both"/>
        <w:rPr>
          <w:rFonts w:eastAsia="Calibri"/>
          <w:szCs w:val="24"/>
        </w:rPr>
      </w:pPr>
      <w:r>
        <w:rPr>
          <w:szCs w:val="24"/>
          <w:lang w:eastAsia="lt-LT"/>
        </w:rPr>
        <w:t xml:space="preserve">1.12.1. </w:t>
      </w:r>
      <w:r>
        <w:rPr>
          <w:szCs w:val="24"/>
        </w:rPr>
        <w:t xml:space="preserve">Išdėstyti 11 priedą „2024 metų valstybės biudžeto dotacijos iš kitų valdymo lygių savivaldybės biudžetui projektams finansuoti  asignavimai“ </w:t>
      </w:r>
      <w:r>
        <w:rPr>
          <w:rFonts w:eastAsia="Calibri"/>
          <w:szCs w:val="24"/>
        </w:rPr>
        <w:t>nauja redakcija (pridedama).</w:t>
      </w:r>
    </w:p>
    <w:p>
      <w:pPr>
        <w:pStyle w:val="Normal"/>
        <w:ind w:firstLine="680"/>
        <w:jc w:val="both"/>
        <w:rPr>
          <w:szCs w:val="24"/>
          <w:lang w:eastAsia="lt-LT"/>
        </w:rPr>
      </w:pPr>
      <w:r>
        <w:rPr>
          <w:szCs w:val="24"/>
          <w:lang w:eastAsia="lt-LT"/>
        </w:rPr>
        <w:t>2. Pavesti vykdyti sprendimą savivaldybės merui, savivaldybės įstaigų vadovams, seniūnijų seniūnams.</w:t>
      </w:r>
    </w:p>
    <w:p>
      <w:pPr>
        <w:pStyle w:val="Normal"/>
        <w:ind w:firstLine="720"/>
        <w:jc w:val="both"/>
        <w:rPr>
          <w:szCs w:val="24"/>
          <w:lang w:eastAsia="lt-LT"/>
        </w:rPr>
      </w:pPr>
      <w:r>
        <w:rPr>
          <w:szCs w:val="24"/>
          <w:lang w:eastAsia="lt-LT"/>
        </w:rPr>
      </w:r>
    </w:p>
    <w:p>
      <w:pPr>
        <w:pStyle w:val="Normal"/>
        <w:ind w:firstLine="720"/>
        <w:jc w:val="both"/>
        <w:rPr>
          <w:szCs w:val="24"/>
          <w:lang w:eastAsia="lt-LT"/>
        </w:rPr>
      </w:pPr>
      <w:r>
        <w:rPr>
          <w:color w:val="000000"/>
        </w:rPr>
        <w:t> </w:t>
      </w:r>
    </w:p>
    <w:p>
      <w:pPr>
        <w:pStyle w:val="Normal"/>
        <w:ind w:firstLine="720"/>
        <w:jc w:val="both"/>
        <w:rPr>
          <w:szCs w:val="24"/>
          <w:lang w:eastAsia="lt-LT"/>
        </w:rPr>
      </w:pPr>
      <w:r>
        <w:rPr>
          <w:szCs w:val="24"/>
          <w:lang w:eastAsia="lt-LT"/>
        </w:rPr>
      </w:r>
    </w:p>
    <w:p>
      <w:pPr>
        <w:pStyle w:val="Normal"/>
        <w:rPr>
          <w:szCs w:val="24"/>
          <w:lang w:eastAsia="lt-LT"/>
        </w:rPr>
      </w:pPr>
      <w:r>
        <w:rPr>
          <w:szCs w:val="24"/>
          <w:lang w:eastAsia="lt-LT"/>
        </w:rPr>
      </w:r>
    </w:p>
    <w:p>
      <w:pPr>
        <w:pStyle w:val="Normal"/>
        <w:rPr>
          <w:szCs w:val="24"/>
          <w:lang w:eastAsia="lt-LT"/>
        </w:rPr>
      </w:pPr>
      <w:r>
        <w:rPr>
          <w:szCs w:val="24"/>
          <w:lang w:eastAsia="lt-LT"/>
        </w:rPr>
        <w:t>Savivaldybės meras</w:t>
      </w:r>
    </w:p>
    <w:p>
      <w:pPr>
        <w:pStyle w:val="Normal"/>
        <w:rPr>
          <w:szCs w:val="24"/>
          <w:lang w:eastAsia="lt-LT"/>
        </w:rPr>
      </w:pPr>
      <w:r>
        <w:rPr>
          <w:szCs w:val="24"/>
          <w:lang w:eastAsia="lt-LT"/>
        </w:rPr>
      </w:r>
    </w:p>
    <w:p>
      <w:pPr>
        <w:pStyle w:val="Normal"/>
        <w:rPr>
          <w:szCs w:val="24"/>
          <w:lang w:eastAsia="lt-LT"/>
        </w:rPr>
      </w:pPr>
      <w:r>
        <w:rPr>
          <w:szCs w:val="24"/>
          <w:lang w:eastAsia="lt-LT"/>
        </w:rPr>
      </w:r>
    </w:p>
    <w:p>
      <w:pPr>
        <w:pStyle w:val="Normal"/>
        <w:rPr>
          <w:szCs w:val="24"/>
          <w:lang w:eastAsia="lt-LT"/>
        </w:rPr>
      </w:pPr>
      <w:r>
        <w:rPr>
          <w:szCs w:val="24"/>
          <w:lang w:eastAsia="lt-LT"/>
        </w:rPr>
      </w:r>
    </w:p>
    <w:p>
      <w:pPr>
        <w:pStyle w:val="Normal"/>
        <w:rPr>
          <w:rFonts w:eastAsia="Calibri"/>
          <w:szCs w:val="24"/>
          <w:lang w:eastAsia="lt-LT"/>
        </w:rPr>
      </w:pPr>
      <w:r>
        <w:rPr>
          <w:rFonts w:eastAsia="Calibri"/>
          <w:szCs w:val="24"/>
          <w:lang w:eastAsia="lt-LT"/>
        </w:rPr>
      </w:r>
    </w:p>
    <w:p>
      <w:pPr>
        <w:pStyle w:val="Normal"/>
        <w:ind w:firstLine="2188"/>
        <w:jc w:val="both"/>
        <w:rPr>
          <w:color w:val="000000"/>
          <w:szCs w:val="24"/>
          <w:lang w:eastAsia="lt-LT"/>
        </w:rPr>
      </w:pPr>
      <w:bookmarkStart w:id="0" w:name="part_7b55e3d045174f62b7317d8e93b5516d"/>
      <w:bookmarkEnd w:id="0"/>
      <w:r>
        <w:rPr>
          <w:color w:val="000000"/>
          <w:szCs w:val="24"/>
          <w:lang w:eastAsia="lt-LT"/>
        </w:rPr>
        <w:t> </w:t>
      </w:r>
    </w:p>
    <w:p>
      <w:pPr>
        <w:pStyle w:val="Normal"/>
        <w:spacing w:lineRule="auto" w:line="276" w:before="0" w:after="200"/>
        <w:rPr>
          <w:color w:val="000000"/>
          <w:szCs w:val="24"/>
          <w:lang w:eastAsia="lt-LT"/>
        </w:rPr>
      </w:pPr>
      <w:r>
        <w:rPr>
          <w:color w:val="000000"/>
          <w:szCs w:val="24"/>
          <w:lang w:eastAsia="lt-LT"/>
        </w:rPr>
      </w:r>
    </w:p>
    <w:p>
      <w:pPr>
        <w:pStyle w:val="Normal"/>
        <w:spacing w:lineRule="auto" w:line="276" w:before="0" w:after="200"/>
        <w:rPr>
          <w:szCs w:val="24"/>
          <w:lang w:eastAsia="lt-LT"/>
        </w:rPr>
      </w:pPr>
      <w:r>
        <w:rPr>
          <w:szCs w:val="24"/>
          <w:lang w:eastAsia="lt-LT"/>
        </w:rPr>
      </w:r>
    </w:p>
    <w:p>
      <w:pPr>
        <w:pStyle w:val="Normal"/>
        <w:spacing w:lineRule="auto" w:line="276" w:before="0" w:after="200"/>
        <w:rPr>
          <w:szCs w:val="24"/>
          <w:lang w:eastAsia="lt-LT"/>
        </w:rPr>
      </w:pPr>
      <w:r>
        <w:rPr>
          <w:szCs w:val="24"/>
          <w:lang w:eastAsia="lt-LT"/>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ourier New">
    <w:charset w:val="ba"/>
    <w:family w:val="modern"/>
    <w:pitch w:val="default"/>
  </w:font>
  <w:font w:name="Wingdings">
    <w:charset w:val="02"/>
    <w:family w:val="auto"/>
    <w:pitch w:val="variable"/>
  </w:font>
  <w:font w:name="Liberation Sans">
    <w:altName w:val="Arial"/>
    <w:charset w:val="ba"/>
    <w:family w:val="swiss"/>
    <w:pitch w:val="variable"/>
  </w:font>
</w:fonts>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lt-LT" w:bidi="ar-SA" w:eastAsia="zh-CN"/>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Numatytasispastraiposriftas">
    <w:name w:val="Numatytasis pastraipos šriftas"/>
    <w:qFormat/>
    <w:rPr/>
  </w:style>
  <w:style w:type="character" w:styleId="AntratsDiagrama">
    <w:name w:val="Antraštės Diagrama"/>
    <w:qFormat/>
    <w:rPr>
      <w:sz w:val="24"/>
    </w:rPr>
  </w:style>
  <w:style w:type="character" w:styleId="PoratDiagrama">
    <w:name w:val="Poraštė Diagrama"/>
    <w:qFormat/>
    <w:rPr>
      <w:sz w:val="24"/>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1296"/>
        <w:tab w:val="center" w:pos="4819" w:leader="none"/>
        <w:tab w:val="right" w:pos="9638" w:leader="none"/>
      </w:tabs>
    </w:pPr>
    <w:rPr/>
  </w:style>
  <w:style w:type="paragraph" w:styleId="Header">
    <w:name w:val="Header"/>
    <w:basedOn w:val="Normal"/>
    <w:pPr>
      <w:tabs>
        <w:tab w:val="clear" w:pos="1296"/>
        <w:tab w:val="center" w:pos="4819" w:leader="none"/>
        <w:tab w:val="right" w:pos="9638" w:leader="none"/>
      </w:tabs>
    </w:pPr>
    <w:rPr/>
  </w:style>
  <w:style w:type="paragraph" w:styleId="Footer">
    <w:name w:val="Footer"/>
    <w:basedOn w:val="Normal"/>
    <w:pPr>
      <w:tabs>
        <w:tab w:val="clear" w:pos="1296"/>
        <w:tab w:val="center" w:pos="4819" w:leader="none"/>
        <w:tab w:val="right" w:pos="9638" w:leader="none"/>
      </w:tabs>
    </w:pPr>
    <w:rPr/>
  </w:style>
  <w:style w:type="paragraph" w:styleId="Prastasiniatinklio">
    <w:name w:val="Įprastas (žiniatinklio)"/>
    <w:basedOn w:val="Normal"/>
    <w:qFormat/>
    <w:pPr>
      <w:spacing w:before="280" w:after="280"/>
    </w:pPr>
    <w:rPr>
      <w:szCs w:val="24"/>
    </w:rPr>
  </w:style>
  <w:style w:type="paragraph" w:styleId="Sraopastraipa">
    <w:name w:val="Sąrašo pastraipa"/>
    <w:basedOn w:val="Normal"/>
    <w:qFormat/>
    <w:pPr>
      <w:ind w:left="1296"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media/image1.wmf"
                 Type="http://schemas.openxmlformats.org/officeDocument/2006/relationships/image"/>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Template>
  <TotalTime>844</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2024-06-12T16:15:00Z</dcterms:created>
  <dc:creator>Vartotojas</dc:creator>
  <dc:language>lt-LT</dc:language>
  <cp:lastModifiedBy>Jolanta Sakavičienė</cp:lastModifiedBy>
  <cp:lastPrinted>2024-02-14T13:49:00Z</cp:lastPrinted>
  <dcterms:modified xsi:type="dcterms:W3CDTF">2024-09-16T13:42:00Z</dcterms:modified>
  <cp:revision>35</cp:revision>
</cp:coreProperties>
</file>