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553F05C8" w:rsidR="00C504AE" w:rsidRPr="00C504AE" w:rsidRDefault="00C504AE">
      <w:pPr>
        <w:ind w:right="-431"/>
        <w:jc w:val="center"/>
        <w:rPr>
          <w:b/>
          <w:bCs/>
        </w:rPr>
      </w:pPr>
      <w:r>
        <w:t xml:space="preserve">                                                                                   </w:t>
      </w:r>
      <w:r w:rsidRPr="00CE3E09">
        <w:rPr>
          <w:b/>
          <w:bCs/>
        </w:rPr>
        <w:t xml:space="preserve">  </w:t>
      </w:r>
      <w:proofErr w:type="spellStart"/>
      <w:r w:rsidR="00B30C03" w:rsidRPr="00CE3E09">
        <w:rPr>
          <w:b/>
          <w:bCs/>
        </w:rPr>
        <w:t>P</w:t>
      </w:r>
      <w:r w:rsidR="00CE3E09">
        <w:rPr>
          <w:b/>
          <w:bCs/>
        </w:rPr>
        <w:t>r</w:t>
      </w:r>
      <w:r w:rsidRPr="00CE3E09">
        <w:rPr>
          <w:b/>
          <w:bCs/>
        </w:rPr>
        <w:t>ojekt</w:t>
      </w:r>
      <w:r w:rsidR="00B30C03" w:rsidRPr="00CE3E09">
        <w:rPr>
          <w:b/>
          <w:bCs/>
        </w:rPr>
        <w:t>o</w:t>
      </w:r>
      <w:proofErr w:type="spellEnd"/>
      <w:r w:rsidR="00B30C03">
        <w:rPr>
          <w:b/>
          <w:bCs/>
        </w:rPr>
        <w:t xml:space="preserve"> </w:t>
      </w:r>
      <w:proofErr w:type="spellStart"/>
      <w:r w:rsidR="00B30C03">
        <w:rPr>
          <w:b/>
          <w:bCs/>
        </w:rPr>
        <w:t>lyginamasis</w:t>
      </w:r>
      <w:proofErr w:type="spellEnd"/>
      <w:r w:rsidR="00B30C03">
        <w:rPr>
          <w:b/>
          <w:bCs/>
        </w:rPr>
        <w:t xml:space="preserve"> </w:t>
      </w:r>
      <w:proofErr w:type="spellStart"/>
      <w:r w:rsidR="00B30C03">
        <w:rPr>
          <w:b/>
          <w:bCs/>
        </w:rPr>
        <w:t>variantas</w:t>
      </w:r>
      <w:proofErr w:type="spellEnd"/>
    </w:p>
    <w:p w14:paraId="6BFB57FB" w14:textId="29E0B84F" w:rsidR="00A641F6" w:rsidRDefault="007F758C">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6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26D0E9BF"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865A1E">
        <w:rPr>
          <w:rFonts w:eastAsia="Lucida Sans Unicode" w:cs="Tahoma"/>
          <w:color w:val="000000"/>
          <w:szCs w:val="24"/>
          <w:lang w:val="lt-LT"/>
        </w:rPr>
        <w:t xml:space="preserve"> </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TS</w:t>
      </w:r>
      <w:r w:rsidR="00087526">
        <w:rPr>
          <w:rFonts w:eastAsia="Lucida Sans Unicode" w:cs="Tahoma"/>
          <w:color w:val="000000"/>
          <w:szCs w:val="24"/>
          <w:lang w:val="lt-LT"/>
        </w:rPr>
        <w:t>-</w:t>
      </w:r>
      <w:r w:rsidR="00C504AE">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F906676" w:rsidR="00CE3E09" w:rsidRPr="00326340" w:rsidRDefault="00CE3E09" w:rsidP="00326340">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pirminės sveikatos priežiūros centrui“ 1 priedo 8 punktą ir išdėstyti jį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8168A5" w14:paraId="68A9FCE2" w14:textId="77777777" w:rsidTr="00326340">
        <w:trPr>
          <w:trHeight w:val="1749"/>
        </w:trPr>
        <w:tc>
          <w:tcPr>
            <w:tcW w:w="567" w:type="dxa"/>
          </w:tcPr>
          <w:p w14:paraId="23A51B91" w14:textId="77777777" w:rsidR="00CE3E09" w:rsidRDefault="00CE3E09" w:rsidP="00F8193D">
            <w:pPr>
              <w:jc w:val="center"/>
              <w:rPr>
                <w:b/>
                <w:bCs/>
                <w:lang w:val="lt-LT"/>
              </w:rPr>
            </w:pPr>
          </w:p>
          <w:p w14:paraId="08FCAC0E" w14:textId="12E62EFB" w:rsidR="008D62F3" w:rsidRPr="008168A5" w:rsidRDefault="008D62F3" w:rsidP="00F8193D">
            <w:pPr>
              <w:jc w:val="center"/>
              <w:rPr>
                <w:b/>
                <w:bCs/>
              </w:rPr>
            </w:pPr>
            <w:r w:rsidRPr="008168A5">
              <w:rPr>
                <w:b/>
                <w:bCs/>
              </w:rPr>
              <w:t>Eil. Nr.</w:t>
            </w:r>
          </w:p>
        </w:tc>
        <w:tc>
          <w:tcPr>
            <w:tcW w:w="1704" w:type="dxa"/>
          </w:tcPr>
          <w:p w14:paraId="60613DB2" w14:textId="77777777" w:rsidR="008D62F3" w:rsidRPr="008168A5" w:rsidRDefault="008D62F3" w:rsidP="00F8193D">
            <w:pPr>
              <w:jc w:val="center"/>
              <w:rPr>
                <w:b/>
                <w:bCs/>
                <w:lang w:val="lt-LT"/>
              </w:rPr>
            </w:pPr>
            <w:r>
              <w:rPr>
                <w:b/>
                <w:bCs/>
                <w:lang w:val="lt-LT"/>
              </w:rPr>
              <w:t>Adresas</w:t>
            </w:r>
          </w:p>
        </w:tc>
        <w:tc>
          <w:tcPr>
            <w:tcW w:w="1843"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8"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4" w:type="dxa"/>
          </w:tcPr>
          <w:p w14:paraId="693AB902" w14:textId="77777777" w:rsidR="008D62F3" w:rsidRPr="008168A5" w:rsidRDefault="008D62F3" w:rsidP="00F8193D">
            <w:pPr>
              <w:jc w:val="center"/>
              <w:rPr>
                <w:b/>
                <w:bCs/>
                <w:lang w:val="lt-LT"/>
              </w:rPr>
            </w:pPr>
            <w:r>
              <w:rPr>
                <w:b/>
                <w:bCs/>
                <w:lang w:val="lt-LT"/>
              </w:rPr>
              <w:t>Patalpų indeksai</w:t>
            </w:r>
          </w:p>
        </w:tc>
        <w:tc>
          <w:tcPr>
            <w:tcW w:w="2125"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326340">
        <w:trPr>
          <w:trHeight w:val="1749"/>
        </w:trPr>
        <w:tc>
          <w:tcPr>
            <w:tcW w:w="567" w:type="dxa"/>
            <w:tcBorders>
              <w:top w:val="single" w:sz="4" w:space="0" w:color="000000"/>
              <w:left w:val="single" w:sz="4" w:space="0" w:color="000000"/>
              <w:bottom w:val="single" w:sz="4" w:space="0" w:color="000000"/>
              <w:right w:val="single" w:sz="4" w:space="0" w:color="000000"/>
            </w:tcBorders>
          </w:tcPr>
          <w:p w14:paraId="5C5747E9" w14:textId="0E406D98" w:rsidR="008D62F3" w:rsidRPr="00D97B97" w:rsidRDefault="008D62F3" w:rsidP="00F8193D">
            <w:pPr>
              <w:jc w:val="center"/>
            </w:pPr>
            <w:r>
              <w:t>8</w:t>
            </w:r>
            <w:r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77777777" w:rsidR="008D62F3" w:rsidRDefault="008D62F3" w:rsidP="00F8193D">
            <w:pPr>
              <w:jc w:val="center"/>
              <w:rPr>
                <w:lang w:val="lt-LT"/>
              </w:rPr>
            </w:pPr>
            <w:r>
              <w:rPr>
                <w:lang w:val="lt-LT"/>
              </w:rPr>
              <w:t>20D2p</w:t>
            </w:r>
          </w:p>
        </w:tc>
        <w:tc>
          <w:tcPr>
            <w:tcW w:w="1558" w:type="dxa"/>
            <w:tcBorders>
              <w:top w:val="single" w:sz="4" w:space="0" w:color="000000"/>
              <w:left w:val="single" w:sz="4" w:space="0" w:color="000000"/>
              <w:bottom w:val="single" w:sz="4" w:space="0" w:color="000000"/>
              <w:right w:val="single" w:sz="4" w:space="0" w:color="000000"/>
            </w:tcBorders>
          </w:tcPr>
          <w:p w14:paraId="43227D5B" w14:textId="77777777" w:rsidR="008D62F3" w:rsidRDefault="008D62F3" w:rsidP="00F8193D">
            <w:pPr>
              <w:jc w:val="center"/>
              <w:rPr>
                <w:strike/>
                <w:lang w:val="lt-LT"/>
              </w:rPr>
            </w:pPr>
            <w:r w:rsidRPr="00B03835">
              <w:rPr>
                <w:strike/>
                <w:lang w:val="lt-LT"/>
              </w:rPr>
              <w:t>726,25</w:t>
            </w:r>
          </w:p>
          <w:p w14:paraId="0DD55416" w14:textId="3720D059" w:rsidR="00B03835" w:rsidRPr="00B03835" w:rsidRDefault="00B03835" w:rsidP="00F8193D">
            <w:pPr>
              <w:jc w:val="center"/>
              <w:rPr>
                <w:lang w:val="lt-LT"/>
              </w:rPr>
            </w:pPr>
            <w:r w:rsidRPr="00B03835">
              <w:rPr>
                <w:lang w:val="lt-LT"/>
              </w:rPr>
              <w:t>785,88</w:t>
            </w:r>
          </w:p>
        </w:tc>
        <w:tc>
          <w:tcPr>
            <w:tcW w:w="1984" w:type="dxa"/>
            <w:tcBorders>
              <w:top w:val="single" w:sz="4" w:space="0" w:color="000000"/>
              <w:left w:val="single" w:sz="4" w:space="0" w:color="000000"/>
              <w:bottom w:val="single" w:sz="4" w:space="0" w:color="000000"/>
              <w:right w:val="single" w:sz="4" w:space="0" w:color="000000"/>
            </w:tcBorders>
          </w:tcPr>
          <w:p w14:paraId="11181474" w14:textId="77777777" w:rsidR="008D62F3" w:rsidRPr="00A165E0" w:rsidRDefault="008D62F3"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–1-26;1-60–1-75;</w:t>
            </w:r>
          </w:p>
          <w:p w14:paraId="5953ACDB" w14:textId="31DB4A61" w:rsidR="008D62F3" w:rsidRDefault="008D62F3" w:rsidP="008D62F3">
            <w:pPr>
              <w:jc w:val="center"/>
              <w:rPr>
                <w:lang w:val="lt-LT"/>
              </w:rPr>
            </w:pPr>
            <w:r w:rsidRPr="00A165E0">
              <w:rPr>
                <w:szCs w:val="24"/>
              </w:rPr>
              <w:t>1-97–1-100</w:t>
            </w:r>
            <w:r>
              <w:rPr>
                <w:szCs w:val="24"/>
              </w:rPr>
              <w:t xml:space="preserve">; </w:t>
            </w:r>
            <w:r w:rsidRPr="00DA4321">
              <w:rPr>
                <w:b/>
                <w:bCs/>
                <w:szCs w:val="24"/>
              </w:rPr>
              <w:t>2-</w:t>
            </w:r>
            <w:r w:rsidR="00B03835">
              <w:rPr>
                <w:b/>
                <w:bCs/>
                <w:szCs w:val="24"/>
              </w:rPr>
              <w:t>28</w:t>
            </w:r>
            <w:r w:rsidRPr="00DA4321">
              <w:rPr>
                <w:b/>
                <w:bCs/>
                <w:szCs w:val="24"/>
              </w:rPr>
              <w:t>–2-</w:t>
            </w:r>
            <w:r w:rsidR="00B03835">
              <w:rPr>
                <w:b/>
                <w:bCs/>
                <w:szCs w:val="24"/>
              </w:rPr>
              <w:t>31</w:t>
            </w:r>
            <w:r w:rsidRPr="00DA4321">
              <w:rPr>
                <w:b/>
                <w:bCs/>
                <w:szCs w:val="24"/>
              </w:rPr>
              <w:t>;</w:t>
            </w:r>
          </w:p>
        </w:tc>
        <w:tc>
          <w:tcPr>
            <w:tcW w:w="2125" w:type="dxa"/>
            <w:tcBorders>
              <w:top w:val="single" w:sz="4" w:space="0" w:color="000000"/>
              <w:left w:val="single" w:sz="4" w:space="0" w:color="000000"/>
              <w:bottom w:val="single" w:sz="4" w:space="0" w:color="000000"/>
              <w:right w:val="single" w:sz="4" w:space="0" w:color="000000"/>
            </w:tcBorders>
          </w:tcPr>
          <w:p w14:paraId="7A1B3C4D" w14:textId="77777777" w:rsidR="008D62F3" w:rsidRDefault="008D62F3" w:rsidP="00F8193D">
            <w:pPr>
              <w:jc w:val="center"/>
              <w:rPr>
                <w:lang w:val="lt-LT"/>
              </w:rPr>
            </w:pPr>
            <w:r>
              <w:rPr>
                <w:lang w:val="lt-LT"/>
              </w:rPr>
              <w:t>5396-6000-7206</w:t>
            </w:r>
          </w:p>
        </w:tc>
      </w:tr>
    </w:tbl>
    <w:p w14:paraId="2309CC9C" w14:textId="64B6F924" w:rsidR="00CE3E09" w:rsidRPr="00AA7794" w:rsidRDefault="00CE3E09" w:rsidP="004743A9">
      <w:pPr>
        <w:tabs>
          <w:tab w:val="left" w:pos="709"/>
          <w:tab w:val="left" w:pos="851"/>
        </w:tabs>
        <w:jc w:val="both"/>
        <w:rPr>
          <w:color w:val="000000"/>
          <w:lang w:val="lt-LT"/>
        </w:rPr>
      </w:pPr>
      <w:r>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bookmarkStart w:id="0" w:name="_GoBack"/>
      <w:bookmarkEnd w:id="0"/>
    </w:p>
    <w:sectPr w:rsidR="0088166C"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176B" w14:textId="77777777" w:rsidR="00C477D4" w:rsidRDefault="00C477D4" w:rsidP="00C504AE">
      <w:r>
        <w:separator/>
      </w:r>
    </w:p>
  </w:endnote>
  <w:endnote w:type="continuationSeparator" w:id="0">
    <w:p w14:paraId="7176C23A" w14:textId="77777777" w:rsidR="00C477D4" w:rsidRDefault="00C477D4"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0ED0" w14:textId="77777777" w:rsidR="00C477D4" w:rsidRDefault="00C477D4" w:rsidP="00C504AE">
      <w:r>
        <w:separator/>
      </w:r>
    </w:p>
  </w:footnote>
  <w:footnote w:type="continuationSeparator" w:id="0">
    <w:p w14:paraId="50F1AA96" w14:textId="77777777" w:rsidR="00C477D4" w:rsidRDefault="00C477D4"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69D3"/>
    <w:rsid w:val="00033318"/>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90570"/>
    <w:rsid w:val="00193FED"/>
    <w:rsid w:val="001A5678"/>
    <w:rsid w:val="001B34E3"/>
    <w:rsid w:val="001C536E"/>
    <w:rsid w:val="001C6F3F"/>
    <w:rsid w:val="001C77A0"/>
    <w:rsid w:val="001D0E17"/>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A2D03"/>
    <w:rsid w:val="002A6A40"/>
    <w:rsid w:val="002B4524"/>
    <w:rsid w:val="002B6A19"/>
    <w:rsid w:val="002C511A"/>
    <w:rsid w:val="002D583A"/>
    <w:rsid w:val="002E1D8C"/>
    <w:rsid w:val="002F020A"/>
    <w:rsid w:val="002F489A"/>
    <w:rsid w:val="0030273C"/>
    <w:rsid w:val="0031174A"/>
    <w:rsid w:val="00314B93"/>
    <w:rsid w:val="00315CE3"/>
    <w:rsid w:val="00315FA6"/>
    <w:rsid w:val="003203A6"/>
    <w:rsid w:val="00321F5E"/>
    <w:rsid w:val="003230E0"/>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C421C"/>
    <w:rsid w:val="006E14AC"/>
    <w:rsid w:val="006E6EC3"/>
    <w:rsid w:val="006F1082"/>
    <w:rsid w:val="006F3BC8"/>
    <w:rsid w:val="00712915"/>
    <w:rsid w:val="00713021"/>
    <w:rsid w:val="007249E6"/>
    <w:rsid w:val="0073130B"/>
    <w:rsid w:val="007334FE"/>
    <w:rsid w:val="00743122"/>
    <w:rsid w:val="00747A25"/>
    <w:rsid w:val="00755F20"/>
    <w:rsid w:val="007567EE"/>
    <w:rsid w:val="007725DB"/>
    <w:rsid w:val="00773A73"/>
    <w:rsid w:val="007847A3"/>
    <w:rsid w:val="00787F72"/>
    <w:rsid w:val="007959DE"/>
    <w:rsid w:val="0079671B"/>
    <w:rsid w:val="00797F53"/>
    <w:rsid w:val="007A6453"/>
    <w:rsid w:val="007D087C"/>
    <w:rsid w:val="007D3A22"/>
    <w:rsid w:val="007E3076"/>
    <w:rsid w:val="007E58CA"/>
    <w:rsid w:val="007F6A92"/>
    <w:rsid w:val="007F7459"/>
    <w:rsid w:val="007F758C"/>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C03F6"/>
    <w:rsid w:val="008D181A"/>
    <w:rsid w:val="008D62F3"/>
    <w:rsid w:val="008E4AE6"/>
    <w:rsid w:val="008E50DB"/>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641F6"/>
    <w:rsid w:val="00A64D7C"/>
    <w:rsid w:val="00A71BC9"/>
    <w:rsid w:val="00A7632C"/>
    <w:rsid w:val="00A94AF4"/>
    <w:rsid w:val="00AB6F5A"/>
    <w:rsid w:val="00AD293E"/>
    <w:rsid w:val="00AD3778"/>
    <w:rsid w:val="00AF0E12"/>
    <w:rsid w:val="00B01792"/>
    <w:rsid w:val="00B03835"/>
    <w:rsid w:val="00B16939"/>
    <w:rsid w:val="00B248A1"/>
    <w:rsid w:val="00B30C03"/>
    <w:rsid w:val="00B40FB3"/>
    <w:rsid w:val="00B44742"/>
    <w:rsid w:val="00B515F3"/>
    <w:rsid w:val="00B54CAA"/>
    <w:rsid w:val="00B55993"/>
    <w:rsid w:val="00B5669D"/>
    <w:rsid w:val="00B743C7"/>
    <w:rsid w:val="00B8243C"/>
    <w:rsid w:val="00B94C0E"/>
    <w:rsid w:val="00BB0549"/>
    <w:rsid w:val="00BB26B7"/>
    <w:rsid w:val="00BB3214"/>
    <w:rsid w:val="00BB35E9"/>
    <w:rsid w:val="00BB5258"/>
    <w:rsid w:val="00BC0846"/>
    <w:rsid w:val="00BC13A5"/>
    <w:rsid w:val="00C050F0"/>
    <w:rsid w:val="00C22F0E"/>
    <w:rsid w:val="00C334FB"/>
    <w:rsid w:val="00C3644A"/>
    <w:rsid w:val="00C36DAF"/>
    <w:rsid w:val="00C46470"/>
    <w:rsid w:val="00C477A7"/>
    <w:rsid w:val="00C477D4"/>
    <w:rsid w:val="00C504AE"/>
    <w:rsid w:val="00C61F04"/>
    <w:rsid w:val="00C86653"/>
    <w:rsid w:val="00C9421A"/>
    <w:rsid w:val="00CA0243"/>
    <w:rsid w:val="00CB5A5B"/>
    <w:rsid w:val="00CD6105"/>
    <w:rsid w:val="00CE3E09"/>
    <w:rsid w:val="00CE6A7F"/>
    <w:rsid w:val="00D20474"/>
    <w:rsid w:val="00D242D1"/>
    <w:rsid w:val="00D3424F"/>
    <w:rsid w:val="00D440D5"/>
    <w:rsid w:val="00D605F9"/>
    <w:rsid w:val="00D67E31"/>
    <w:rsid w:val="00D73C81"/>
    <w:rsid w:val="00D92E08"/>
    <w:rsid w:val="00DA4321"/>
    <w:rsid w:val="00DA4A92"/>
    <w:rsid w:val="00DC3DED"/>
    <w:rsid w:val="00DD07A4"/>
    <w:rsid w:val="00DD443D"/>
    <w:rsid w:val="00DD5759"/>
    <w:rsid w:val="00DD6028"/>
    <w:rsid w:val="00DE0161"/>
    <w:rsid w:val="00E11B08"/>
    <w:rsid w:val="00E47EE5"/>
    <w:rsid w:val="00E64422"/>
    <w:rsid w:val="00E676C2"/>
    <w:rsid w:val="00E71B5B"/>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BD63-34B0-4FDA-942E-12E2B4E9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Audronė Naujalienė</cp:lastModifiedBy>
  <cp:revision>6</cp:revision>
  <cp:lastPrinted>2023-05-22T06:48:00Z</cp:lastPrinted>
  <dcterms:created xsi:type="dcterms:W3CDTF">2023-10-09T05:55:00Z</dcterms:created>
  <dcterms:modified xsi:type="dcterms:W3CDTF">2023-10-12T13:18:00Z</dcterms:modified>
</cp:coreProperties>
</file>