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ED2AD" w14:textId="77777777" w:rsidR="005F4BD9" w:rsidRPr="00F87449" w:rsidRDefault="005F4BD9" w:rsidP="00032429">
      <w:pPr>
        <w:pStyle w:val="Paantrat"/>
      </w:pPr>
      <w:r>
        <w:tab/>
      </w:r>
      <w:r>
        <w:tab/>
      </w:r>
      <w:r>
        <w:tab/>
      </w:r>
      <w:r>
        <w:tab/>
      </w:r>
      <w:r>
        <w:tab/>
      </w:r>
      <w:r>
        <w:tab/>
      </w:r>
      <w:r>
        <w:tab/>
      </w:r>
      <w:r>
        <w:tab/>
      </w:r>
      <w:r>
        <w:tab/>
      </w:r>
      <w:r>
        <w:tab/>
      </w:r>
      <w:r w:rsidRPr="00F87449">
        <w:t>Projektas</w:t>
      </w:r>
    </w:p>
    <w:p w14:paraId="6684FC4E" w14:textId="77777777" w:rsidR="005F4BD9" w:rsidRDefault="005F4BD9" w:rsidP="005F4BD9">
      <w:pPr>
        <w:ind w:left="3600" w:firstLine="720"/>
      </w:pPr>
      <w:r>
        <w:object w:dxaOrig="1346" w:dyaOrig="673" w14:anchorId="6B7A6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7" o:title=""/>
          </v:shape>
          <o:OLEObject Type="Embed" ProgID="Imaging.Document" ShapeID="_x0000_i1025" DrawAspect="Content" ObjectID="_1756788493" r:id="rId8"/>
        </w:object>
      </w:r>
    </w:p>
    <w:p w14:paraId="16D024CA" w14:textId="77777777" w:rsidR="005F4BD9" w:rsidRDefault="005F4BD9" w:rsidP="005F4BD9">
      <w:pPr>
        <w:ind w:left="720"/>
        <w:jc w:val="center"/>
      </w:pPr>
      <w:r>
        <w:tab/>
      </w:r>
    </w:p>
    <w:p w14:paraId="4A2014CD" w14:textId="77777777" w:rsidR="005F4BD9" w:rsidRDefault="005F4BD9" w:rsidP="005F4BD9">
      <w:pPr>
        <w:pStyle w:val="Paantrat"/>
        <w:rPr>
          <w:szCs w:val="24"/>
        </w:rPr>
      </w:pPr>
      <w:r>
        <w:rPr>
          <w:szCs w:val="24"/>
        </w:rPr>
        <w:t>KĖDAINIŲ RAJONO SAVIVALDYBĖS TARYBA</w:t>
      </w:r>
    </w:p>
    <w:p w14:paraId="4BCAD7E3" w14:textId="77777777" w:rsidR="005F4BD9" w:rsidRDefault="005F4BD9" w:rsidP="005F4BD9">
      <w:pPr>
        <w:jc w:val="center"/>
        <w:rPr>
          <w:b/>
        </w:rPr>
      </w:pPr>
    </w:p>
    <w:p w14:paraId="3FC8EA05" w14:textId="77777777" w:rsidR="005F4BD9" w:rsidRDefault="005F4BD9" w:rsidP="005F4BD9">
      <w:pPr>
        <w:jc w:val="center"/>
        <w:rPr>
          <w:b/>
        </w:rPr>
      </w:pPr>
      <w:r>
        <w:rPr>
          <w:b/>
        </w:rPr>
        <w:t>SPRENDIMAS</w:t>
      </w:r>
    </w:p>
    <w:p w14:paraId="19C69165" w14:textId="2E88D85E" w:rsidR="00B05FFC" w:rsidRDefault="008F5987" w:rsidP="005F4BD9">
      <w:pPr>
        <w:jc w:val="center"/>
      </w:pPr>
      <w:bookmarkStart w:id="0" w:name="_Hlk493058363"/>
      <w:r>
        <w:rPr>
          <w:b/>
        </w:rPr>
        <w:t xml:space="preserve">DĖL </w:t>
      </w:r>
      <w:r w:rsidR="00B1444A" w:rsidRPr="00B1444A">
        <w:rPr>
          <w:b/>
        </w:rPr>
        <w:t xml:space="preserve">KĖDAINIŲ RAJONO SAVIVALDYBĖS TARYBOS </w:t>
      </w:r>
      <w:r w:rsidR="001D2EC1">
        <w:rPr>
          <w:b/>
        </w:rPr>
        <w:t>20</w:t>
      </w:r>
      <w:r w:rsidR="0078625A">
        <w:rPr>
          <w:b/>
        </w:rPr>
        <w:t>2</w:t>
      </w:r>
      <w:r w:rsidR="003D7A78">
        <w:rPr>
          <w:b/>
        </w:rPr>
        <w:t>3</w:t>
      </w:r>
      <w:r w:rsidR="001D2EC1">
        <w:rPr>
          <w:b/>
        </w:rPr>
        <w:t xml:space="preserve"> M. </w:t>
      </w:r>
      <w:r w:rsidR="003D7A78">
        <w:rPr>
          <w:b/>
        </w:rPr>
        <w:t>SAUSIO 27</w:t>
      </w:r>
      <w:r w:rsidR="001D2EC1">
        <w:rPr>
          <w:b/>
        </w:rPr>
        <w:t xml:space="preserve"> D. SPRENDIMO</w:t>
      </w:r>
      <w:r w:rsidR="00B1444A" w:rsidRPr="00B1444A">
        <w:rPr>
          <w:b/>
        </w:rPr>
        <w:t xml:space="preserve"> NR. TS</w:t>
      </w:r>
      <w:r w:rsidR="0039682F">
        <w:rPr>
          <w:b/>
        </w:rPr>
        <w:t>-</w:t>
      </w:r>
      <w:r w:rsidR="00852CE9">
        <w:rPr>
          <w:b/>
        </w:rPr>
        <w:t>1</w:t>
      </w:r>
      <w:r w:rsidR="00B1444A" w:rsidRPr="00B1444A">
        <w:rPr>
          <w:b/>
        </w:rPr>
        <w:t xml:space="preserve"> „DĖL KĖDAINIŲ RAJONO SAVIVALDYBĖS 20</w:t>
      </w:r>
      <w:r w:rsidR="008F3325">
        <w:rPr>
          <w:b/>
        </w:rPr>
        <w:t>2</w:t>
      </w:r>
      <w:r w:rsidR="003D7A78">
        <w:rPr>
          <w:b/>
        </w:rPr>
        <w:t>3</w:t>
      </w:r>
      <w:r w:rsidR="00B1444A" w:rsidRPr="00B1444A">
        <w:rPr>
          <w:b/>
        </w:rPr>
        <w:t>–20</w:t>
      </w:r>
      <w:r w:rsidR="006F1454">
        <w:rPr>
          <w:b/>
        </w:rPr>
        <w:t>2</w:t>
      </w:r>
      <w:r w:rsidR="003D7A78">
        <w:rPr>
          <w:b/>
        </w:rPr>
        <w:t>5</w:t>
      </w:r>
      <w:r w:rsidR="00B1444A" w:rsidRPr="00B1444A">
        <w:rPr>
          <w:b/>
        </w:rPr>
        <w:t xml:space="preserve"> METŲ STRATEGINIO VEIKLOS PLANO TVIRTINIMO“</w:t>
      </w:r>
      <w:r w:rsidR="00B1444A">
        <w:rPr>
          <w:b/>
        </w:rPr>
        <w:t xml:space="preserve"> PAKEITIMO</w:t>
      </w:r>
    </w:p>
    <w:bookmarkEnd w:id="0"/>
    <w:p w14:paraId="71C47F6B" w14:textId="77777777" w:rsidR="00B1444A" w:rsidRDefault="00B1444A" w:rsidP="005F4BD9">
      <w:pPr>
        <w:jc w:val="center"/>
      </w:pPr>
    </w:p>
    <w:p w14:paraId="1A5920C3" w14:textId="0AD407FE" w:rsidR="005F4BD9" w:rsidRDefault="005F4BD9" w:rsidP="005F4BD9">
      <w:pPr>
        <w:jc w:val="center"/>
      </w:pPr>
      <w:r>
        <w:t>20</w:t>
      </w:r>
      <w:r w:rsidR="008F3325">
        <w:t>2</w:t>
      </w:r>
      <w:r w:rsidR="003D7A78">
        <w:t>3</w:t>
      </w:r>
      <w:r>
        <w:t xml:space="preserve"> m. </w:t>
      </w:r>
      <w:r w:rsidR="00E55CB0">
        <w:t>rugsėjo</w:t>
      </w:r>
      <w:r w:rsidR="003D7A78">
        <w:t xml:space="preserve"> </w:t>
      </w:r>
      <w:r w:rsidR="006D5F6A">
        <w:t>20</w:t>
      </w:r>
      <w:r w:rsidR="003D7A78">
        <w:t xml:space="preserve">  </w:t>
      </w:r>
      <w:r>
        <w:t>d. Nr. SP-</w:t>
      </w:r>
      <w:r w:rsidR="006D5F6A">
        <w:t>242</w:t>
      </w:r>
      <w:r>
        <w:t xml:space="preserve"> </w:t>
      </w:r>
    </w:p>
    <w:p w14:paraId="684A9A1A" w14:textId="77777777" w:rsidR="005F4BD9" w:rsidRDefault="005F4BD9" w:rsidP="005F4BD9">
      <w:pPr>
        <w:jc w:val="center"/>
      </w:pPr>
      <w:r>
        <w:t>Kėdainiai</w:t>
      </w:r>
    </w:p>
    <w:p w14:paraId="1106B94E" w14:textId="77777777" w:rsidR="005F4BD9" w:rsidRDefault="005F4BD9" w:rsidP="005F4BD9">
      <w:pPr>
        <w:jc w:val="center"/>
      </w:pPr>
    </w:p>
    <w:p w14:paraId="49FFA15A" w14:textId="3048196A" w:rsidR="00BE7D28" w:rsidRPr="00BE7D28" w:rsidRDefault="00BE7D28" w:rsidP="00BE7D28">
      <w:pPr>
        <w:ind w:firstLine="720"/>
        <w:jc w:val="both"/>
      </w:pPr>
      <w:r w:rsidRPr="00BE7D28">
        <w:t xml:space="preserve">Kėdainių rajono savivaldybės taryba  </w:t>
      </w:r>
      <w:r w:rsidRPr="00BE7D28">
        <w:rPr>
          <w:spacing w:val="40"/>
        </w:rPr>
        <w:t>nusprendžia:</w:t>
      </w:r>
    </w:p>
    <w:p w14:paraId="6EDDE67D" w14:textId="05713FA5" w:rsidR="00BE7D28" w:rsidRDefault="00BE7D28" w:rsidP="00BE7D28">
      <w:pPr>
        <w:ind w:firstLine="720"/>
        <w:jc w:val="both"/>
      </w:pPr>
      <w:r w:rsidRPr="00BC5F65">
        <w:rPr>
          <w:spacing w:val="60"/>
        </w:rPr>
        <w:t>Pakeisti</w:t>
      </w:r>
      <w:r w:rsidRPr="00BE7D28">
        <w:t xml:space="preserve"> Kėdainių rajono savivaldybės 202</w:t>
      </w:r>
      <w:r w:rsidR="003D7A78">
        <w:t>3</w:t>
      </w:r>
      <w:r w:rsidRPr="00BE7D28">
        <w:t>–202</w:t>
      </w:r>
      <w:r w:rsidR="003D7A78">
        <w:t>5</w:t>
      </w:r>
      <w:r w:rsidRPr="00BE7D28">
        <w:t xml:space="preserve"> metų strateginio veiklos plano, patvirtinto Kėdainių rajono savivaldybės tarybos 20</w:t>
      </w:r>
      <w:r w:rsidR="0078625A">
        <w:t>2</w:t>
      </w:r>
      <w:r w:rsidR="003D7A78">
        <w:t>3</w:t>
      </w:r>
      <w:r w:rsidRPr="00BE7D28">
        <w:t xml:space="preserve"> m. </w:t>
      </w:r>
      <w:r w:rsidR="003D7A78">
        <w:t>sausio 27</w:t>
      </w:r>
      <w:r w:rsidRPr="00BE7D28">
        <w:t xml:space="preserve"> d. sprendimu Nr. TS-</w:t>
      </w:r>
      <w:r w:rsidR="00852CE9">
        <w:t>1</w:t>
      </w:r>
      <w:r w:rsidRPr="00BE7D28">
        <w:t xml:space="preserve"> „Dėl Kėdainių rajono savivaldybės 202</w:t>
      </w:r>
      <w:r w:rsidR="003D7A78">
        <w:t>3</w:t>
      </w:r>
      <w:r w:rsidRPr="00BE7D28">
        <w:t>–202</w:t>
      </w:r>
      <w:r w:rsidR="003D7A78">
        <w:t>5</w:t>
      </w:r>
      <w:r w:rsidRPr="00BE7D28">
        <w:t xml:space="preserve"> metų strateginio veiklos plano tvirtinimo“,</w:t>
      </w:r>
      <w:r>
        <w:t xml:space="preserve"> strateginius tikslus įgyvendinančių programų asignavimų 1–12 priedus ir juos išdėstyti nauja redakcija (pridedama).</w:t>
      </w:r>
    </w:p>
    <w:p w14:paraId="51E03FB9" w14:textId="77777777" w:rsidR="009642D5" w:rsidRDefault="009642D5" w:rsidP="009642D5">
      <w:pPr>
        <w:jc w:val="both"/>
      </w:pPr>
    </w:p>
    <w:p w14:paraId="22F96EDB" w14:textId="77777777" w:rsidR="009642D5" w:rsidRDefault="009642D5" w:rsidP="009642D5">
      <w:pPr>
        <w:jc w:val="both"/>
      </w:pPr>
      <w:bookmarkStart w:id="1" w:name="_GoBack"/>
      <w:bookmarkEnd w:id="1"/>
    </w:p>
    <w:p w14:paraId="561E8872" w14:textId="77777777" w:rsidR="005F4BD9" w:rsidRDefault="005F4BD9" w:rsidP="005F4BD9">
      <w:pPr>
        <w:pStyle w:val="Textbeitrauku"/>
      </w:pPr>
    </w:p>
    <w:p w14:paraId="6C6562CA" w14:textId="77777777" w:rsidR="005F4BD9" w:rsidRDefault="005F4BD9" w:rsidP="005F4BD9">
      <w:pPr>
        <w:jc w:val="both"/>
      </w:pPr>
      <w:r>
        <w:t>Savivaldybės meras</w:t>
      </w:r>
      <w:r>
        <w:tab/>
      </w:r>
      <w:r>
        <w:tab/>
      </w:r>
      <w:r>
        <w:tab/>
      </w:r>
      <w:r>
        <w:tab/>
      </w:r>
      <w:r>
        <w:tab/>
      </w:r>
      <w:r>
        <w:tab/>
      </w:r>
      <w:r>
        <w:tab/>
      </w:r>
      <w:r>
        <w:tab/>
      </w:r>
    </w:p>
    <w:p w14:paraId="088BD65F" w14:textId="77777777" w:rsidR="005F4BD9" w:rsidRDefault="005F4BD9" w:rsidP="005F4BD9">
      <w:pPr>
        <w:jc w:val="both"/>
      </w:pPr>
    </w:p>
    <w:p w14:paraId="77ABBF11" w14:textId="77777777" w:rsidR="005F4BD9" w:rsidRDefault="005F4BD9" w:rsidP="005F4BD9">
      <w:pPr>
        <w:jc w:val="both"/>
      </w:pPr>
    </w:p>
    <w:p w14:paraId="12CDF719" w14:textId="77777777" w:rsidR="005F4BD9" w:rsidRDefault="005F4BD9" w:rsidP="005F4BD9">
      <w:pPr>
        <w:jc w:val="both"/>
      </w:pPr>
    </w:p>
    <w:p w14:paraId="028D40BE" w14:textId="77777777" w:rsidR="005F4BD9" w:rsidRDefault="005F4BD9" w:rsidP="005F4BD9">
      <w:pPr>
        <w:jc w:val="both"/>
      </w:pPr>
    </w:p>
    <w:p w14:paraId="7FF97783" w14:textId="77777777" w:rsidR="005F4BD9" w:rsidRDefault="005F4BD9" w:rsidP="005F4BD9">
      <w:pPr>
        <w:jc w:val="both"/>
      </w:pPr>
    </w:p>
    <w:p w14:paraId="206AC92A" w14:textId="77777777" w:rsidR="005F4BD9" w:rsidRDefault="005F4BD9" w:rsidP="005F4BD9">
      <w:pPr>
        <w:jc w:val="both"/>
      </w:pPr>
    </w:p>
    <w:p w14:paraId="3BB4224E" w14:textId="77777777" w:rsidR="005F4BD9" w:rsidRDefault="005F4BD9" w:rsidP="005F4BD9">
      <w:pPr>
        <w:jc w:val="both"/>
      </w:pPr>
    </w:p>
    <w:p w14:paraId="0894E035" w14:textId="77777777" w:rsidR="005F4BD9" w:rsidRDefault="005F4BD9" w:rsidP="005F4BD9">
      <w:pPr>
        <w:jc w:val="both"/>
      </w:pPr>
    </w:p>
    <w:p w14:paraId="526A0ADF" w14:textId="77777777" w:rsidR="005F4BD9" w:rsidRDefault="005F4BD9" w:rsidP="005F4BD9">
      <w:pPr>
        <w:jc w:val="both"/>
      </w:pPr>
    </w:p>
    <w:p w14:paraId="49300100" w14:textId="77777777" w:rsidR="005F4BD9" w:rsidRDefault="005F4BD9" w:rsidP="005F4BD9">
      <w:pPr>
        <w:jc w:val="both"/>
      </w:pPr>
    </w:p>
    <w:p w14:paraId="51A33DBB" w14:textId="77777777" w:rsidR="005F4BD9" w:rsidRDefault="005F4BD9" w:rsidP="005F4BD9">
      <w:pPr>
        <w:jc w:val="both"/>
      </w:pPr>
    </w:p>
    <w:p w14:paraId="7E841BE0" w14:textId="77777777" w:rsidR="005F4BD9" w:rsidRDefault="005F4BD9" w:rsidP="005F4BD9">
      <w:pPr>
        <w:jc w:val="both"/>
      </w:pPr>
    </w:p>
    <w:p w14:paraId="2D2E64A0" w14:textId="77777777" w:rsidR="005F4BD9" w:rsidRDefault="005F4BD9" w:rsidP="005F4BD9">
      <w:pPr>
        <w:jc w:val="both"/>
      </w:pPr>
    </w:p>
    <w:p w14:paraId="41D4DB0B" w14:textId="77777777" w:rsidR="0025108B" w:rsidRDefault="0025108B" w:rsidP="005F4BD9">
      <w:pPr>
        <w:jc w:val="both"/>
      </w:pPr>
    </w:p>
    <w:p w14:paraId="1DE41355" w14:textId="77777777" w:rsidR="009642D5" w:rsidRDefault="009642D5" w:rsidP="005F4BD9">
      <w:pPr>
        <w:jc w:val="both"/>
      </w:pPr>
    </w:p>
    <w:p w14:paraId="679BD2B0" w14:textId="77777777" w:rsidR="003D7A78" w:rsidRDefault="003D7A78" w:rsidP="005F4BD9">
      <w:pPr>
        <w:jc w:val="both"/>
      </w:pPr>
    </w:p>
    <w:p w14:paraId="609AA8EA" w14:textId="77777777" w:rsidR="003D7A78" w:rsidRDefault="003D7A78" w:rsidP="005F4BD9">
      <w:pPr>
        <w:jc w:val="both"/>
      </w:pPr>
    </w:p>
    <w:p w14:paraId="7A2B84F4" w14:textId="77777777" w:rsidR="003D7A78" w:rsidRDefault="003D7A78" w:rsidP="005F4BD9">
      <w:pPr>
        <w:jc w:val="both"/>
      </w:pPr>
    </w:p>
    <w:p w14:paraId="029E31C2" w14:textId="4C0C163E" w:rsidR="003D7A78" w:rsidRDefault="003D7A78" w:rsidP="003D7A78">
      <w:pPr>
        <w:jc w:val="both"/>
      </w:pPr>
      <w:r>
        <w:t>Kristina Kemešienė</w:t>
      </w:r>
      <w:r>
        <w:tab/>
      </w:r>
      <w:r>
        <w:tab/>
        <w:t xml:space="preserve">Valentinas Tamulis </w:t>
      </w:r>
      <w:r>
        <w:tab/>
      </w:r>
      <w:r>
        <w:tab/>
        <w:t>Gintautas Muznikas</w:t>
      </w:r>
      <w:r w:rsidR="005F4BD9">
        <w:tab/>
      </w:r>
    </w:p>
    <w:p w14:paraId="1AD8F54E" w14:textId="5BC5E809" w:rsidR="003D7A78" w:rsidRDefault="003D7A78" w:rsidP="003D7A78">
      <w:pPr>
        <w:jc w:val="both"/>
      </w:pPr>
      <w:r>
        <w:t>2023-09-</w:t>
      </w:r>
      <w:r>
        <w:tab/>
      </w:r>
      <w:r>
        <w:tab/>
      </w:r>
      <w:r>
        <w:tab/>
        <w:t>2023-09-</w:t>
      </w:r>
      <w:r>
        <w:tab/>
      </w:r>
      <w:r>
        <w:tab/>
      </w:r>
      <w:r>
        <w:tab/>
        <w:t>2023-09-</w:t>
      </w:r>
      <w:r>
        <w:tab/>
      </w:r>
    </w:p>
    <w:p w14:paraId="0EEC0E63" w14:textId="104773BA" w:rsidR="003D7A78" w:rsidRDefault="005F4BD9" w:rsidP="005F4BD9">
      <w:pPr>
        <w:jc w:val="both"/>
      </w:pPr>
      <w:r>
        <w:tab/>
      </w:r>
    </w:p>
    <w:p w14:paraId="787AF6BB" w14:textId="77777777" w:rsidR="003D7A78" w:rsidRDefault="003D7A78" w:rsidP="005F4BD9">
      <w:pPr>
        <w:jc w:val="both"/>
      </w:pPr>
    </w:p>
    <w:p w14:paraId="612EBBFA" w14:textId="567140E6" w:rsidR="003D7A78" w:rsidRDefault="007A4702" w:rsidP="005F4BD9">
      <w:pPr>
        <w:jc w:val="both"/>
      </w:pPr>
      <w:r>
        <w:t>Jolanta Sakavičienė</w:t>
      </w:r>
      <w:r w:rsidR="0025108B">
        <w:t xml:space="preserve"> </w:t>
      </w:r>
      <w:r w:rsidR="003D7A78">
        <w:tab/>
      </w:r>
      <w:r w:rsidR="003D7A78">
        <w:tab/>
      </w:r>
      <w:r w:rsidR="00C1131E">
        <w:t>Elena Neimaer-Zinkienė</w:t>
      </w:r>
    </w:p>
    <w:p w14:paraId="45030256" w14:textId="0920433E" w:rsidR="0025108B" w:rsidRDefault="009642D5" w:rsidP="005F4BD9">
      <w:pPr>
        <w:jc w:val="both"/>
      </w:pPr>
      <w:r>
        <w:t>20</w:t>
      </w:r>
      <w:r w:rsidR="008F3325">
        <w:t>2</w:t>
      </w:r>
      <w:r w:rsidR="003D7A78">
        <w:t>3</w:t>
      </w:r>
      <w:r>
        <w:t>-0</w:t>
      </w:r>
      <w:r w:rsidR="00F54541">
        <w:t>9</w:t>
      </w:r>
      <w:r>
        <w:t>-</w:t>
      </w:r>
      <w:r w:rsidR="0025108B">
        <w:tab/>
      </w:r>
      <w:r w:rsidR="0025108B">
        <w:tab/>
      </w:r>
      <w:r w:rsidR="0025108B">
        <w:tab/>
      </w:r>
      <w:r w:rsidR="008F3325">
        <w:t>202</w:t>
      </w:r>
      <w:r w:rsidR="003D7A78">
        <w:t>3</w:t>
      </w:r>
      <w:r w:rsidR="00F54541">
        <w:t>-09-</w:t>
      </w:r>
      <w:r w:rsidR="00F54541">
        <w:tab/>
      </w:r>
      <w:r w:rsidR="005305A5">
        <w:tab/>
      </w:r>
      <w:r w:rsidR="005305A5">
        <w:tab/>
      </w:r>
    </w:p>
    <w:p w14:paraId="1F7D81F3" w14:textId="77777777" w:rsidR="009642D5" w:rsidRDefault="009642D5" w:rsidP="005F4BD9">
      <w:pPr>
        <w:jc w:val="both"/>
      </w:pPr>
    </w:p>
    <w:p w14:paraId="2CEEFF8D" w14:textId="77777777" w:rsidR="008F3325" w:rsidRDefault="008F3325" w:rsidP="005F4BD9">
      <w:pPr>
        <w:jc w:val="both"/>
      </w:pPr>
    </w:p>
    <w:p w14:paraId="67CE8782" w14:textId="77777777" w:rsidR="008F3325" w:rsidRDefault="008F3325" w:rsidP="005F4BD9">
      <w:pPr>
        <w:jc w:val="both"/>
      </w:pPr>
    </w:p>
    <w:p w14:paraId="79316469" w14:textId="77777777" w:rsidR="00C432D7" w:rsidRDefault="00C432D7" w:rsidP="005F4BD9">
      <w:pPr>
        <w:jc w:val="both"/>
      </w:pPr>
    </w:p>
    <w:p w14:paraId="007E8FC6" w14:textId="77777777" w:rsidR="00A735B8" w:rsidRDefault="007A4702" w:rsidP="00A735B8">
      <w:pPr>
        <w:ind w:left="5040"/>
        <w:rPr>
          <w:sz w:val="22"/>
          <w:szCs w:val="22"/>
        </w:rPr>
      </w:pPr>
      <w:r>
        <w:br w:type="page"/>
      </w:r>
      <w:r w:rsidR="00A735B8" w:rsidRPr="001936A6">
        <w:rPr>
          <w:sz w:val="22"/>
          <w:szCs w:val="22"/>
        </w:rPr>
        <w:lastRenderedPageBreak/>
        <w:t>Forma patvirtinta Kėdainių rajono</w:t>
      </w:r>
      <w:r w:rsidR="00A735B8" w:rsidRPr="001936A6">
        <w:rPr>
          <w:sz w:val="22"/>
          <w:szCs w:val="22"/>
        </w:rPr>
        <w:tab/>
      </w:r>
    </w:p>
    <w:p w14:paraId="125E3EED" w14:textId="77777777" w:rsidR="00A735B8" w:rsidRDefault="00A735B8" w:rsidP="00A735B8">
      <w:pPr>
        <w:ind w:left="5040"/>
        <w:rPr>
          <w:sz w:val="22"/>
          <w:szCs w:val="22"/>
        </w:rPr>
      </w:pPr>
      <w:r w:rsidRPr="001936A6">
        <w:rPr>
          <w:sz w:val="22"/>
          <w:szCs w:val="22"/>
        </w:rPr>
        <w:t>Savivaldybės mero 2014 m. sausio  20  d.</w:t>
      </w:r>
    </w:p>
    <w:p w14:paraId="44A0D314" w14:textId="77777777" w:rsidR="00A735B8" w:rsidRPr="001936A6" w:rsidRDefault="00A735B8" w:rsidP="00A735B8">
      <w:pPr>
        <w:ind w:left="5040"/>
        <w:rPr>
          <w:sz w:val="22"/>
          <w:szCs w:val="22"/>
        </w:rPr>
      </w:pPr>
      <w:r w:rsidRPr="001936A6">
        <w:rPr>
          <w:sz w:val="22"/>
          <w:szCs w:val="22"/>
        </w:rPr>
        <w:t>potvarkiu Nr. MP1- 2</w:t>
      </w:r>
    </w:p>
    <w:p w14:paraId="68CE8875" w14:textId="77777777" w:rsidR="00CA636B" w:rsidRPr="00632467" w:rsidRDefault="00CA636B" w:rsidP="00000655">
      <w:pPr>
        <w:jc w:val="both"/>
        <w:rPr>
          <w:kern w:val="1"/>
        </w:rPr>
      </w:pPr>
      <w:r w:rsidRPr="00632467">
        <w:rPr>
          <w:kern w:val="1"/>
        </w:rPr>
        <w:t>Kėdainių rajono savivaldybės tarybai</w:t>
      </w:r>
    </w:p>
    <w:p w14:paraId="5655DF19" w14:textId="77777777" w:rsidR="00CA636B" w:rsidRPr="00632467" w:rsidRDefault="00CA636B" w:rsidP="00CA636B">
      <w:pPr>
        <w:rPr>
          <w:kern w:val="1"/>
        </w:rPr>
      </w:pPr>
    </w:p>
    <w:p w14:paraId="375C9FD1" w14:textId="77777777" w:rsidR="00B87785" w:rsidRDefault="00B87785" w:rsidP="00AF473F">
      <w:pPr>
        <w:jc w:val="center"/>
        <w:rPr>
          <w:b/>
        </w:rPr>
      </w:pPr>
    </w:p>
    <w:p w14:paraId="5A1FF76A" w14:textId="77777777" w:rsidR="00EE771A" w:rsidRDefault="00EE771A" w:rsidP="00EE771A">
      <w:pPr>
        <w:jc w:val="center"/>
      </w:pPr>
      <w:r>
        <w:rPr>
          <w:b/>
        </w:rPr>
        <w:t xml:space="preserve">DĖL </w:t>
      </w:r>
      <w:r w:rsidRPr="00B1444A">
        <w:rPr>
          <w:b/>
        </w:rPr>
        <w:t xml:space="preserve">KĖDAINIŲ RAJONO SAVIVALDYBĖS TARYBOS </w:t>
      </w:r>
      <w:r>
        <w:rPr>
          <w:b/>
        </w:rPr>
        <w:t>2023 M. SAUSIO 27 D. SPRENDIMO</w:t>
      </w:r>
      <w:r w:rsidRPr="00B1444A">
        <w:rPr>
          <w:b/>
        </w:rPr>
        <w:t xml:space="preserve"> NR. TS</w:t>
      </w:r>
      <w:r>
        <w:rPr>
          <w:b/>
        </w:rPr>
        <w:t>-1</w:t>
      </w:r>
      <w:r w:rsidRPr="00B1444A">
        <w:rPr>
          <w:b/>
        </w:rPr>
        <w:t xml:space="preserve"> „DĖL KĖDAINIŲ RAJONO SAVIVALDYBĖS 20</w:t>
      </w:r>
      <w:r>
        <w:rPr>
          <w:b/>
        </w:rPr>
        <w:t>23</w:t>
      </w:r>
      <w:r w:rsidRPr="00B1444A">
        <w:rPr>
          <w:b/>
        </w:rPr>
        <w:t>–20</w:t>
      </w:r>
      <w:r>
        <w:rPr>
          <w:b/>
        </w:rPr>
        <w:t>25</w:t>
      </w:r>
      <w:r w:rsidRPr="00B1444A">
        <w:rPr>
          <w:b/>
        </w:rPr>
        <w:t xml:space="preserve"> METŲ STRATEGINIO VEIKLOS PLANO TVIRTINIMO“</w:t>
      </w:r>
      <w:r>
        <w:rPr>
          <w:b/>
        </w:rPr>
        <w:t xml:space="preserve"> PAKEITIMO</w:t>
      </w:r>
    </w:p>
    <w:p w14:paraId="0409B77D" w14:textId="77777777" w:rsidR="000D1A4D" w:rsidRDefault="000D1A4D" w:rsidP="00CA636B">
      <w:pPr>
        <w:jc w:val="center"/>
      </w:pPr>
    </w:p>
    <w:p w14:paraId="03D0F1D5" w14:textId="7C0695C0" w:rsidR="00CA636B" w:rsidRPr="00632467" w:rsidRDefault="000D1A4D" w:rsidP="00CA636B">
      <w:pPr>
        <w:jc w:val="center"/>
      </w:pPr>
      <w:r>
        <w:t>2</w:t>
      </w:r>
      <w:r w:rsidR="00CA636B" w:rsidRPr="00632467">
        <w:t>0</w:t>
      </w:r>
      <w:r w:rsidR="00D96CCB">
        <w:t>2</w:t>
      </w:r>
      <w:r w:rsidR="00D43CBB">
        <w:t>3</w:t>
      </w:r>
      <w:r w:rsidR="00CA636B" w:rsidRPr="00632467">
        <w:t xml:space="preserve"> m. </w:t>
      </w:r>
      <w:r w:rsidR="00893BC7">
        <w:t>rugsėjo</w:t>
      </w:r>
      <w:r w:rsidR="00F4389A">
        <w:t xml:space="preserve"> </w:t>
      </w:r>
      <w:r w:rsidR="00EE771A">
        <w:t>20</w:t>
      </w:r>
      <w:r w:rsidR="00E34ACE">
        <w:t xml:space="preserve">  </w:t>
      </w:r>
      <w:r w:rsidR="00CA636B" w:rsidRPr="00632467">
        <w:t>d.</w:t>
      </w:r>
    </w:p>
    <w:p w14:paraId="01DA2D6F" w14:textId="77777777" w:rsidR="00CA636B" w:rsidRPr="00632467" w:rsidRDefault="00CA636B" w:rsidP="00CA636B">
      <w:pPr>
        <w:jc w:val="center"/>
      </w:pPr>
      <w:r w:rsidRPr="00632467">
        <w:t>Kėdainiai</w:t>
      </w:r>
    </w:p>
    <w:p w14:paraId="2A0D9F84" w14:textId="77777777" w:rsidR="00CA636B" w:rsidRPr="00632467" w:rsidRDefault="00CA636B" w:rsidP="000F3B26">
      <w:pPr>
        <w:spacing w:line="264" w:lineRule="auto"/>
        <w:ind w:firstLine="709"/>
        <w:rPr>
          <w:color w:val="FF0000"/>
          <w:kern w:val="1"/>
        </w:rPr>
      </w:pPr>
    </w:p>
    <w:p w14:paraId="67AD5A87" w14:textId="77777777" w:rsidR="00B91544" w:rsidRDefault="00B91544" w:rsidP="000F3B26">
      <w:pPr>
        <w:spacing w:line="264" w:lineRule="auto"/>
        <w:ind w:firstLine="720"/>
        <w:jc w:val="both"/>
        <w:rPr>
          <w:b/>
          <w:kern w:val="2"/>
        </w:rPr>
      </w:pPr>
      <w:r>
        <w:rPr>
          <w:b/>
          <w:kern w:val="2"/>
        </w:rPr>
        <w:t>Parengto sprendimo projekto tikslai:</w:t>
      </w:r>
    </w:p>
    <w:p w14:paraId="0076DA25" w14:textId="06443090" w:rsidR="00B91544" w:rsidRDefault="00B91544" w:rsidP="000F3B26">
      <w:pPr>
        <w:spacing w:line="264" w:lineRule="auto"/>
        <w:ind w:firstLine="720"/>
        <w:jc w:val="both"/>
      </w:pPr>
      <w:r>
        <w:t>Patikslinti Kėdainių rajono savivaldybės 202</w:t>
      </w:r>
      <w:r w:rsidR="00EE771A">
        <w:t>3</w:t>
      </w:r>
      <w:r>
        <w:t>–202</w:t>
      </w:r>
      <w:r w:rsidR="00EE771A">
        <w:t>5</w:t>
      </w:r>
      <w:r>
        <w:t xml:space="preserve"> metų strateginio veiklos plano (toliau – Veiklos planas) programas, siekiant reaguoti į pokyčius ir užtikrinti tinkamą Veiklos plano tikslų, uždavinių ir priemonių įgyvendinimą.</w:t>
      </w:r>
    </w:p>
    <w:p w14:paraId="1369402B" w14:textId="77777777" w:rsidR="00D43CBB" w:rsidRDefault="00D43CBB" w:rsidP="000F3B26">
      <w:pPr>
        <w:spacing w:line="264" w:lineRule="auto"/>
        <w:ind w:firstLine="709"/>
        <w:jc w:val="both"/>
        <w:rPr>
          <w:b/>
          <w:kern w:val="2"/>
        </w:rPr>
      </w:pPr>
    </w:p>
    <w:p w14:paraId="6A9B5C89" w14:textId="23ABDDD0" w:rsidR="00B91544" w:rsidRDefault="00B91544" w:rsidP="000F3B26">
      <w:pPr>
        <w:spacing w:line="264" w:lineRule="auto"/>
        <w:ind w:firstLine="709"/>
        <w:jc w:val="both"/>
        <w:rPr>
          <w:b/>
          <w:kern w:val="2"/>
        </w:rPr>
      </w:pPr>
      <w:r>
        <w:rPr>
          <w:b/>
          <w:kern w:val="2"/>
        </w:rPr>
        <w:t>Sprendimo projekto esmė</w:t>
      </w:r>
      <w:r>
        <w:rPr>
          <w:kern w:val="2"/>
        </w:rPr>
        <w:t xml:space="preserve">, </w:t>
      </w:r>
      <w:r>
        <w:rPr>
          <w:b/>
          <w:kern w:val="2"/>
        </w:rPr>
        <w:t xml:space="preserve">rengimo priežastys ir motyvai: </w:t>
      </w:r>
    </w:p>
    <w:p w14:paraId="6539DC38" w14:textId="43FECB9C" w:rsidR="00B91544" w:rsidRDefault="00B91544" w:rsidP="000F3B26">
      <w:pPr>
        <w:spacing w:line="264" w:lineRule="auto"/>
        <w:ind w:firstLine="720"/>
        <w:jc w:val="both"/>
        <w:rPr>
          <w:bCs/>
          <w:lang w:bidi="lo-LA"/>
        </w:rPr>
      </w:pPr>
      <w:r>
        <w:t>20</w:t>
      </w:r>
      <w:r w:rsidR="0078625A">
        <w:t>2</w:t>
      </w:r>
      <w:r w:rsidR="00EE771A">
        <w:t>3</w:t>
      </w:r>
      <w:r>
        <w:t xml:space="preserve"> m. </w:t>
      </w:r>
      <w:r w:rsidR="00EE771A">
        <w:t>sausio</w:t>
      </w:r>
      <w:r>
        <w:t xml:space="preserve"> </w:t>
      </w:r>
      <w:r w:rsidR="00EE771A">
        <w:t>27</w:t>
      </w:r>
      <w:r>
        <w:t xml:space="preserve"> d. Kėdainių rajono savivaldybės (toliau – savivaldybės) tarybos sprendimu Nr. TS-</w:t>
      </w:r>
      <w:r w:rsidR="00852CE9">
        <w:t>1</w:t>
      </w:r>
      <w:r>
        <w:t xml:space="preserve"> patvirtintas Veiklos planas. Vadovaujantis </w:t>
      </w:r>
      <w:r>
        <w:rPr>
          <w:lang w:bidi="lo-LA"/>
        </w:rPr>
        <w:t xml:space="preserve">Strateginio planavimo savivaldybėje organizavimo tvarkos aprašo 59.6 punktu, </w:t>
      </w:r>
      <w:r>
        <w:rPr>
          <w:bCs/>
          <w:lang w:bidi="lo-LA"/>
        </w:rPr>
        <w:t xml:space="preserve">Savivaldybės tarybai patvirtinus einamųjų metų biudžetą bei priėmus kitus sprendimus dėl lėšų paskirstymo, atsižvelgiant į Lietuvos Respublikos Vyriausybės nutarimus ar ministrų įsakymus dėl lėšų skyrimo, Veiklos planas patikslinamas vieną kartą, ne vėliau kaip iki einamųjų metų rugsėjo 30 d. </w:t>
      </w:r>
    </w:p>
    <w:p w14:paraId="77C23D96" w14:textId="2059BDD7" w:rsidR="00B91544" w:rsidRDefault="00B91544" w:rsidP="000F3B26">
      <w:pPr>
        <w:spacing w:line="264" w:lineRule="auto"/>
        <w:ind w:firstLine="720"/>
        <w:jc w:val="both"/>
        <w:rPr>
          <w:lang w:bidi="lo-LA"/>
        </w:rPr>
      </w:pPr>
      <w:r>
        <w:t>Sprendimo projektas parengtas atsižvelgiant į Savivaldybės 202</w:t>
      </w:r>
      <w:r w:rsidR="00EE771A">
        <w:t>3</w:t>
      </w:r>
      <w:r>
        <w:t xml:space="preserve"> m. biudžeto galimybes, </w:t>
      </w:r>
      <w:r>
        <w:rPr>
          <w:lang w:bidi="lo-LA"/>
        </w:rPr>
        <w:t>Veiklos plano programų koordinatorių pateiktą patikslintą informaciją, priimtus teisės aktus, kurie įtakoja Veiklos plano programų turinį bei finansavimo galimybes</w:t>
      </w:r>
      <w:r w:rsidR="00EE771A">
        <w:rPr>
          <w:lang w:bidi="lo-LA"/>
        </w:rPr>
        <w:t xml:space="preserve">. </w:t>
      </w:r>
      <w:r w:rsidR="0068466E">
        <w:rPr>
          <w:lang w:bidi="lo-LA"/>
        </w:rPr>
        <w:t>Į veiklos plano patikslinimą integruoti rajono tarybos sprendimais patvirtinti 202</w:t>
      </w:r>
      <w:r w:rsidR="00EE771A">
        <w:rPr>
          <w:lang w:bidi="lo-LA"/>
        </w:rPr>
        <w:t>3</w:t>
      </w:r>
      <w:r w:rsidR="0068466E">
        <w:rPr>
          <w:lang w:bidi="lo-LA"/>
        </w:rPr>
        <w:t xml:space="preserve"> m. savivaldybės biudžeto pakeitimai (202</w:t>
      </w:r>
      <w:r w:rsidR="00EE771A">
        <w:rPr>
          <w:lang w:bidi="lo-LA"/>
        </w:rPr>
        <w:t>3</w:t>
      </w:r>
      <w:r w:rsidR="0068466E">
        <w:rPr>
          <w:lang w:bidi="lo-LA"/>
        </w:rPr>
        <w:t>-</w:t>
      </w:r>
      <w:r w:rsidR="00243A62">
        <w:rPr>
          <w:lang w:bidi="lo-LA"/>
        </w:rPr>
        <w:t>0</w:t>
      </w:r>
      <w:r w:rsidR="00E71EAF">
        <w:rPr>
          <w:lang w:bidi="lo-LA"/>
        </w:rPr>
        <w:t>2</w:t>
      </w:r>
      <w:r w:rsidR="00243A62">
        <w:rPr>
          <w:lang w:bidi="lo-LA"/>
        </w:rPr>
        <w:t>-2</w:t>
      </w:r>
      <w:r w:rsidR="00E71EAF">
        <w:rPr>
          <w:lang w:bidi="lo-LA"/>
        </w:rPr>
        <w:t>1</w:t>
      </w:r>
      <w:r w:rsidR="00243A62">
        <w:rPr>
          <w:lang w:bidi="lo-LA"/>
        </w:rPr>
        <w:t xml:space="preserve"> sprendimas Nr.TS-</w:t>
      </w:r>
      <w:r w:rsidR="00E71EAF">
        <w:rPr>
          <w:lang w:bidi="lo-LA"/>
        </w:rPr>
        <w:t>27</w:t>
      </w:r>
      <w:r w:rsidR="00243A62">
        <w:rPr>
          <w:lang w:bidi="lo-LA"/>
        </w:rPr>
        <w:t xml:space="preserve">, </w:t>
      </w:r>
      <w:r w:rsidR="00E71EAF">
        <w:rPr>
          <w:lang w:bidi="lo-LA"/>
        </w:rPr>
        <w:t xml:space="preserve">2023-03-31 sprendimas TS-93, </w:t>
      </w:r>
      <w:r w:rsidR="00243A62">
        <w:rPr>
          <w:lang w:bidi="lo-LA"/>
        </w:rPr>
        <w:t>2022-05-27 Nr. TS-161, 2022-07-01 Nr.TS-203).</w:t>
      </w:r>
    </w:p>
    <w:p w14:paraId="71C19D3F" w14:textId="77777777" w:rsidR="00B91544" w:rsidRDefault="00B91544" w:rsidP="000F3B26">
      <w:pPr>
        <w:spacing w:line="264" w:lineRule="auto"/>
        <w:ind w:firstLine="720"/>
        <w:jc w:val="both"/>
      </w:pPr>
      <w:r>
        <w:t xml:space="preserve">Sprendimo projektas parengtas siekiant efektyviai panaudoti turimus bei planuojamus gauti finansinius, materialiuosius ir darbo išteklius užsibrėžtiems tikslams pasiekti. </w:t>
      </w:r>
    </w:p>
    <w:p w14:paraId="7BFB8F84" w14:textId="77777777" w:rsidR="00D43CBB" w:rsidRDefault="00D43CBB" w:rsidP="000F3B26">
      <w:pPr>
        <w:spacing w:line="264" w:lineRule="auto"/>
        <w:ind w:firstLine="709"/>
        <w:jc w:val="both"/>
        <w:rPr>
          <w:b/>
          <w:kern w:val="2"/>
        </w:rPr>
      </w:pPr>
    </w:p>
    <w:p w14:paraId="2BBA8089" w14:textId="47CF6FA9" w:rsidR="00B91544" w:rsidRDefault="00B91544" w:rsidP="000F3B26">
      <w:pPr>
        <w:spacing w:line="264" w:lineRule="auto"/>
        <w:ind w:firstLine="709"/>
        <w:jc w:val="both"/>
        <w:rPr>
          <w:b/>
          <w:kern w:val="2"/>
        </w:rPr>
      </w:pPr>
      <w:r>
        <w:rPr>
          <w:b/>
          <w:kern w:val="2"/>
        </w:rPr>
        <w:t>Lėšų poreikis (jeigu sprendimui įgyvendinti reikalingos lėšos):</w:t>
      </w:r>
    </w:p>
    <w:p w14:paraId="2CE1CAFB" w14:textId="77777777" w:rsidR="00B91544" w:rsidRPr="00932C4C" w:rsidRDefault="00B91544" w:rsidP="000F3B26">
      <w:pPr>
        <w:pStyle w:val="Textbeitrauku"/>
        <w:spacing w:line="264" w:lineRule="auto"/>
        <w:ind w:firstLine="720"/>
        <w:rPr>
          <w:szCs w:val="24"/>
        </w:rPr>
      </w:pPr>
      <w:r w:rsidRPr="00932C4C">
        <w:rPr>
          <w:szCs w:val="24"/>
        </w:rPr>
        <w:t xml:space="preserve">Veiklos plano programos įgyvendinamos Savivaldybės biudžeto, Valstybės biudžeto specialiųjų tikslinių dotacijų, Aplinkos apsaugos rėmimo specialiosios programos, Europos Sąjungos ir kitų užsienio fondų, Valstybės biudžeto, Kelių priežiūros ir plėtros programos, skolintomis lėšomis, privačiomis – investuotojų lėšomis, iš pajamų už suteiktas paslaugas gautomis lėšomis. </w:t>
      </w:r>
    </w:p>
    <w:p w14:paraId="33D146C3" w14:textId="77777777" w:rsidR="007313B9" w:rsidRDefault="00B91544" w:rsidP="000F3B26">
      <w:pPr>
        <w:pStyle w:val="Textbeitrauku"/>
        <w:spacing w:line="264" w:lineRule="auto"/>
        <w:ind w:firstLine="720"/>
        <w:rPr>
          <w:szCs w:val="24"/>
        </w:rPr>
      </w:pPr>
      <w:r w:rsidRPr="00932C4C">
        <w:rPr>
          <w:szCs w:val="24"/>
        </w:rPr>
        <w:t>Patikslinus Veiklos plano programas, bendras lėšų poreikis įgyvendinti 202</w:t>
      </w:r>
      <w:r w:rsidR="00932C4C" w:rsidRPr="00932C4C">
        <w:rPr>
          <w:szCs w:val="24"/>
        </w:rPr>
        <w:t>3</w:t>
      </w:r>
      <w:r w:rsidRPr="00932C4C">
        <w:rPr>
          <w:szCs w:val="24"/>
        </w:rPr>
        <w:t>–202</w:t>
      </w:r>
      <w:r w:rsidR="00932C4C" w:rsidRPr="00932C4C">
        <w:rPr>
          <w:szCs w:val="24"/>
        </w:rPr>
        <w:t>5</w:t>
      </w:r>
      <w:r w:rsidRPr="00932C4C">
        <w:rPr>
          <w:szCs w:val="24"/>
        </w:rPr>
        <w:t xml:space="preserve"> m. Veiklos plane numatytas priemones 202</w:t>
      </w:r>
      <w:r w:rsidR="00932C4C" w:rsidRPr="00932C4C">
        <w:rPr>
          <w:szCs w:val="24"/>
        </w:rPr>
        <w:t>3</w:t>
      </w:r>
      <w:r w:rsidRPr="00932C4C">
        <w:rPr>
          <w:szCs w:val="24"/>
        </w:rPr>
        <w:t xml:space="preserve"> m. yra </w:t>
      </w:r>
      <w:r w:rsidR="00932C4C" w:rsidRPr="00932C4C">
        <w:rPr>
          <w:szCs w:val="24"/>
        </w:rPr>
        <w:t>119,6</w:t>
      </w:r>
      <w:r w:rsidRPr="00932C4C">
        <w:rPr>
          <w:szCs w:val="24"/>
        </w:rPr>
        <w:t xml:space="preserve"> mln. Eur</w:t>
      </w:r>
      <w:r w:rsidR="007F1DD9" w:rsidRPr="00932C4C">
        <w:rPr>
          <w:szCs w:val="24"/>
        </w:rPr>
        <w:t xml:space="preserve"> (planuota </w:t>
      </w:r>
      <w:r w:rsidR="00932C4C" w:rsidRPr="00932C4C">
        <w:rPr>
          <w:szCs w:val="24"/>
        </w:rPr>
        <w:t>110,5</w:t>
      </w:r>
      <w:r w:rsidR="00C40F50" w:rsidRPr="00932C4C">
        <w:rPr>
          <w:szCs w:val="24"/>
        </w:rPr>
        <w:t xml:space="preserve"> </w:t>
      </w:r>
      <w:r w:rsidR="007F1DD9" w:rsidRPr="00932C4C">
        <w:rPr>
          <w:szCs w:val="24"/>
        </w:rPr>
        <w:t>mln. Eur)</w:t>
      </w:r>
      <w:r w:rsidRPr="00932C4C">
        <w:rPr>
          <w:szCs w:val="24"/>
        </w:rPr>
        <w:t>, 202</w:t>
      </w:r>
      <w:r w:rsidR="00932C4C" w:rsidRPr="00932C4C">
        <w:rPr>
          <w:szCs w:val="24"/>
        </w:rPr>
        <w:t>4</w:t>
      </w:r>
      <w:r w:rsidRPr="00932C4C">
        <w:rPr>
          <w:szCs w:val="24"/>
        </w:rPr>
        <w:t xml:space="preserve"> m. – apie </w:t>
      </w:r>
      <w:r w:rsidR="00932C4C" w:rsidRPr="00932C4C">
        <w:rPr>
          <w:szCs w:val="24"/>
        </w:rPr>
        <w:t>117</w:t>
      </w:r>
      <w:r w:rsidRPr="00932C4C">
        <w:rPr>
          <w:szCs w:val="24"/>
        </w:rPr>
        <w:t xml:space="preserve"> mln. Eur</w:t>
      </w:r>
      <w:r w:rsidR="00932C4C" w:rsidRPr="00932C4C">
        <w:rPr>
          <w:szCs w:val="24"/>
        </w:rPr>
        <w:t xml:space="preserve">, </w:t>
      </w:r>
      <w:r w:rsidRPr="00932C4C">
        <w:rPr>
          <w:szCs w:val="24"/>
        </w:rPr>
        <w:t>202</w:t>
      </w:r>
      <w:r w:rsidR="00932C4C" w:rsidRPr="00932C4C">
        <w:rPr>
          <w:szCs w:val="24"/>
        </w:rPr>
        <w:t>5</w:t>
      </w:r>
      <w:r w:rsidRPr="00932C4C">
        <w:rPr>
          <w:szCs w:val="24"/>
        </w:rPr>
        <w:t xml:space="preserve"> m. – apie </w:t>
      </w:r>
      <w:r w:rsidR="00932C4C" w:rsidRPr="00932C4C">
        <w:rPr>
          <w:szCs w:val="24"/>
        </w:rPr>
        <w:t>119</w:t>
      </w:r>
      <w:r w:rsidRPr="00932C4C">
        <w:rPr>
          <w:szCs w:val="24"/>
        </w:rPr>
        <w:t xml:space="preserve"> mln. Eur. </w:t>
      </w:r>
    </w:p>
    <w:p w14:paraId="236EA1FD" w14:textId="589AD23A" w:rsidR="0048531F" w:rsidRDefault="006F64D9" w:rsidP="000F3B26">
      <w:pPr>
        <w:spacing w:line="264" w:lineRule="auto"/>
        <w:ind w:firstLine="567"/>
        <w:jc w:val="both"/>
      </w:pPr>
      <w:r w:rsidRPr="00932C4C">
        <w:t>Vertinant patvirtintus ir patikslintus 202</w:t>
      </w:r>
      <w:r w:rsidR="00932C4C" w:rsidRPr="00932C4C">
        <w:t>3</w:t>
      </w:r>
      <w:r w:rsidRPr="00932C4C">
        <w:t xml:space="preserve"> m. asignavimus priemonėms įgyvendinti, asignavimai priemonėms per visus finansavimo šaltinius </w:t>
      </w:r>
      <w:r w:rsidR="00513930" w:rsidRPr="00932C4C">
        <w:t>didėja</w:t>
      </w:r>
      <w:r w:rsidRPr="00932C4C">
        <w:t xml:space="preserve"> </w:t>
      </w:r>
      <w:r w:rsidR="00932C4C" w:rsidRPr="00932C4C">
        <w:t>8,2</w:t>
      </w:r>
      <w:r w:rsidRPr="00932C4C">
        <w:t xml:space="preserve"> proc</w:t>
      </w:r>
      <w:r w:rsidR="000F3B26">
        <w:t>. arba</w:t>
      </w:r>
      <w:r w:rsidRPr="00932C4C">
        <w:t xml:space="preserve"> </w:t>
      </w:r>
      <w:r w:rsidR="00932C4C" w:rsidRPr="00932C4C">
        <w:t>9,1</w:t>
      </w:r>
      <w:r w:rsidR="000F3B26">
        <w:t>00</w:t>
      </w:r>
      <w:r w:rsidR="00932C4C" w:rsidRPr="00932C4C">
        <w:t xml:space="preserve"> mln. </w:t>
      </w:r>
      <w:r w:rsidR="00D27FAF" w:rsidRPr="00932C4C">
        <w:t>Eu</w:t>
      </w:r>
      <w:r w:rsidR="007313B9">
        <w:t>r</w:t>
      </w:r>
      <w:r w:rsidR="0048531F">
        <w:t>, iš kurių</w:t>
      </w:r>
      <w:r w:rsidR="000F3B26">
        <w:t xml:space="preserve"> pagrindiniai yra</w:t>
      </w:r>
      <w:r w:rsidR="0048531F">
        <w:t>:</w:t>
      </w:r>
    </w:p>
    <w:p w14:paraId="357B76C3" w14:textId="467FE10C" w:rsidR="0048531F" w:rsidRDefault="00D6156E" w:rsidP="000F3B26">
      <w:pPr>
        <w:pStyle w:val="Textbeitrauku"/>
        <w:numPr>
          <w:ilvl w:val="0"/>
          <w:numId w:val="8"/>
        </w:numPr>
        <w:tabs>
          <w:tab w:val="left" w:pos="1134"/>
          <w:tab w:val="left" w:pos="1276"/>
        </w:tabs>
        <w:spacing w:line="264" w:lineRule="auto"/>
        <w:ind w:left="0" w:firstLine="720"/>
        <w:rPr>
          <w:szCs w:val="24"/>
        </w:rPr>
      </w:pPr>
      <w:r>
        <w:t xml:space="preserve">4,970 mln. Eur </w:t>
      </w:r>
      <w:r w:rsidR="0048531F">
        <w:rPr>
          <w:szCs w:val="24"/>
        </w:rPr>
        <w:t>Valstybės biudžeto tikslin</w:t>
      </w:r>
      <w:r w:rsidR="0048531F">
        <w:t>ė</w:t>
      </w:r>
      <w:r w:rsidR="0048531F">
        <w:rPr>
          <w:szCs w:val="24"/>
        </w:rPr>
        <w:t xml:space="preserve"> dotacija</w:t>
      </w:r>
      <w:r>
        <w:rPr>
          <w:szCs w:val="24"/>
        </w:rPr>
        <w:t xml:space="preserve"> (SBVB)</w:t>
      </w:r>
      <w:r w:rsidR="0048531F">
        <w:t xml:space="preserve"> (</w:t>
      </w:r>
      <w:r w:rsidR="0048531F" w:rsidRPr="0048531F">
        <w:rPr>
          <w:szCs w:val="24"/>
        </w:rPr>
        <w:t>socialinėms išmokoms, kompensacijoms</w:t>
      </w:r>
      <w:r w:rsidR="0048531F">
        <w:t xml:space="preserve"> ~ 1,9 mln. Eur; </w:t>
      </w:r>
      <w:r w:rsidR="0048531F" w:rsidRPr="0048531F">
        <w:rPr>
          <w:szCs w:val="24"/>
        </w:rPr>
        <w:t xml:space="preserve">LEZ teritorijoje įgyvendinamiems projektams </w:t>
      </w:r>
      <w:r w:rsidR="0048531F">
        <w:rPr>
          <w:szCs w:val="24"/>
        </w:rPr>
        <w:t>~</w:t>
      </w:r>
      <w:r w:rsidR="0048531F" w:rsidRPr="0048531F">
        <w:rPr>
          <w:szCs w:val="24"/>
        </w:rPr>
        <w:t xml:space="preserve"> 3 mln. Eur</w:t>
      </w:r>
      <w:r w:rsidR="0048531F">
        <w:rPr>
          <w:szCs w:val="24"/>
        </w:rPr>
        <w:t>)</w:t>
      </w:r>
    </w:p>
    <w:p w14:paraId="3F3D764C" w14:textId="1CD7BD1E" w:rsidR="0048531F" w:rsidRDefault="0048531F" w:rsidP="000F3B26">
      <w:pPr>
        <w:pStyle w:val="Textbeitrauku"/>
        <w:numPr>
          <w:ilvl w:val="0"/>
          <w:numId w:val="8"/>
        </w:numPr>
        <w:tabs>
          <w:tab w:val="left" w:pos="1134"/>
          <w:tab w:val="left" w:pos="1276"/>
        </w:tabs>
        <w:spacing w:line="264" w:lineRule="auto"/>
        <w:ind w:left="0" w:firstLine="720"/>
        <w:rPr>
          <w:bCs/>
          <w:spacing w:val="6"/>
          <w:szCs w:val="24"/>
          <w:lang w:eastAsia="lt-LT"/>
        </w:rPr>
      </w:pPr>
      <w:r>
        <w:rPr>
          <w:szCs w:val="24"/>
        </w:rPr>
        <w:t>2,8</w:t>
      </w:r>
      <w:r w:rsidR="00D6156E">
        <w:rPr>
          <w:szCs w:val="24"/>
        </w:rPr>
        <w:t>31</w:t>
      </w:r>
      <w:r>
        <w:rPr>
          <w:szCs w:val="24"/>
        </w:rPr>
        <w:t xml:space="preserve"> mln. Eur </w:t>
      </w:r>
      <w:r w:rsidR="00D6156E">
        <w:rPr>
          <w:szCs w:val="24"/>
        </w:rPr>
        <w:t xml:space="preserve">savivaldybės biudžeto lėšos (SB) (2,065 mln. Eur </w:t>
      </w:r>
      <w:r w:rsidR="00D6156E">
        <w:rPr>
          <w:bCs/>
          <w:spacing w:val="6"/>
          <w:szCs w:val="24"/>
          <w:lang w:eastAsia="lt-LT"/>
        </w:rPr>
        <w:t>biu</w:t>
      </w:r>
      <w:r w:rsidR="00D6156E" w:rsidRPr="000C3B4A">
        <w:rPr>
          <w:bCs/>
          <w:spacing w:val="6"/>
          <w:szCs w:val="24"/>
          <w:lang w:eastAsia="lt-LT"/>
        </w:rPr>
        <w:t>džetinėms įstaigoms darbo užmokesčiui ir socialinio draudimo įmokoms</w:t>
      </w:r>
      <w:r w:rsidR="00D6156E">
        <w:rPr>
          <w:bCs/>
          <w:spacing w:val="6"/>
          <w:szCs w:val="24"/>
          <w:lang w:eastAsia="lt-LT"/>
        </w:rPr>
        <w:t xml:space="preserve">; </w:t>
      </w:r>
      <w:r w:rsidR="00D6156E" w:rsidRPr="000C3B4A">
        <w:rPr>
          <w:bCs/>
          <w:spacing w:val="6"/>
          <w:szCs w:val="24"/>
          <w:lang w:eastAsia="lt-LT"/>
        </w:rPr>
        <w:t>110,0 tūkst. Eur savivaldybės tarybos narių darbo užmokesčiui</w:t>
      </w:r>
      <w:r w:rsidR="00D6156E">
        <w:rPr>
          <w:bCs/>
          <w:spacing w:val="6"/>
          <w:szCs w:val="24"/>
          <w:lang w:eastAsia="lt-LT"/>
        </w:rPr>
        <w:t xml:space="preserve">; </w:t>
      </w:r>
      <w:r w:rsidR="000F3B26">
        <w:rPr>
          <w:bCs/>
          <w:spacing w:val="6"/>
          <w:szCs w:val="24"/>
          <w:lang w:eastAsia="lt-LT"/>
        </w:rPr>
        <w:t>536,1</w:t>
      </w:r>
      <w:r w:rsidR="00D6156E">
        <w:rPr>
          <w:bCs/>
          <w:spacing w:val="6"/>
          <w:szCs w:val="24"/>
          <w:lang w:eastAsia="lt-LT"/>
        </w:rPr>
        <w:t xml:space="preserve"> tūkst. Eur infrastruktūros objektų modernizavimui, atsižvelgiant į darbų spartą (iš jų 129,4 tūkst. Eur paskirstyti su savivaldybės biudžeto pakeitimais</w:t>
      </w:r>
      <w:r w:rsidR="000F3B26">
        <w:rPr>
          <w:bCs/>
          <w:spacing w:val="6"/>
          <w:szCs w:val="24"/>
          <w:lang w:eastAsia="lt-LT"/>
        </w:rPr>
        <w:t xml:space="preserve">; 120 tūkst. Eur </w:t>
      </w:r>
      <w:r w:rsidR="000F3B26" w:rsidRPr="00E81CE0">
        <w:rPr>
          <w:bCs/>
          <w:spacing w:val="6"/>
          <w:szCs w:val="24"/>
          <w:lang w:eastAsia="lt-LT"/>
        </w:rPr>
        <w:t>palūkan</w:t>
      </w:r>
      <w:r w:rsidR="000F3B26">
        <w:rPr>
          <w:bCs/>
          <w:spacing w:val="6"/>
          <w:szCs w:val="24"/>
          <w:lang w:eastAsia="lt-LT"/>
        </w:rPr>
        <w:t>oms mokėti</w:t>
      </w:r>
      <w:r w:rsidR="00D6156E">
        <w:rPr>
          <w:bCs/>
          <w:spacing w:val="6"/>
          <w:szCs w:val="24"/>
          <w:lang w:eastAsia="lt-LT"/>
        </w:rPr>
        <w:t>);</w:t>
      </w:r>
    </w:p>
    <w:p w14:paraId="534ADF0F" w14:textId="6D2212E6" w:rsidR="00D6156E" w:rsidRDefault="00D6156E" w:rsidP="000F3B26">
      <w:pPr>
        <w:pStyle w:val="Textbeitrauku"/>
        <w:numPr>
          <w:ilvl w:val="0"/>
          <w:numId w:val="8"/>
        </w:numPr>
        <w:tabs>
          <w:tab w:val="left" w:pos="1134"/>
          <w:tab w:val="left" w:pos="1276"/>
        </w:tabs>
        <w:spacing w:line="264" w:lineRule="auto"/>
        <w:ind w:left="0" w:firstLine="720"/>
        <w:rPr>
          <w:bCs/>
          <w:spacing w:val="6"/>
          <w:szCs w:val="24"/>
          <w:lang w:eastAsia="lt-LT"/>
        </w:rPr>
      </w:pPr>
      <w:r>
        <w:rPr>
          <w:bCs/>
          <w:spacing w:val="6"/>
          <w:szCs w:val="24"/>
          <w:lang w:eastAsia="lt-LT"/>
        </w:rPr>
        <w:t>707,0 tūkst. Eur Europos Sąjungos finansavimas (ES) (UAB „Kėdainių vandenys“ įgyvendinamo projekto papildomas finansavimas)</w:t>
      </w:r>
    </w:p>
    <w:p w14:paraId="5531FCC8" w14:textId="25FCB6E2" w:rsidR="00D6156E" w:rsidRDefault="00D6156E" w:rsidP="000F3B26">
      <w:pPr>
        <w:pStyle w:val="Textbeitrauku"/>
        <w:numPr>
          <w:ilvl w:val="0"/>
          <w:numId w:val="8"/>
        </w:numPr>
        <w:tabs>
          <w:tab w:val="left" w:pos="1134"/>
          <w:tab w:val="left" w:pos="1276"/>
        </w:tabs>
        <w:spacing w:line="264" w:lineRule="auto"/>
        <w:ind w:left="0" w:firstLine="720"/>
        <w:rPr>
          <w:bCs/>
          <w:spacing w:val="6"/>
          <w:szCs w:val="24"/>
          <w:lang w:eastAsia="lt-LT"/>
        </w:rPr>
      </w:pPr>
      <w:r>
        <w:rPr>
          <w:szCs w:val="24"/>
        </w:rPr>
        <w:t>467,1 tūkst. Eur privačios lėšos (PR</w:t>
      </w:r>
      <w:r w:rsidRPr="00D6156E">
        <w:rPr>
          <w:szCs w:val="24"/>
        </w:rPr>
        <w:t xml:space="preserve">) (kofinansavimas </w:t>
      </w:r>
      <w:r w:rsidRPr="00D6156E">
        <w:rPr>
          <w:bCs/>
          <w:spacing w:val="6"/>
          <w:szCs w:val="24"/>
          <w:lang w:eastAsia="lt-LT"/>
        </w:rPr>
        <w:t xml:space="preserve">UAB „Kėdainių vandenys“ įgyvendinamam projektui, kuris gavo papildomą ES finansavimą, kitiems </w:t>
      </w:r>
      <w:r w:rsidRPr="00D6156E">
        <w:t>vandentvarkos darbams</w:t>
      </w:r>
      <w:r w:rsidRPr="00D6156E">
        <w:rPr>
          <w:bCs/>
          <w:spacing w:val="6"/>
          <w:szCs w:val="24"/>
          <w:lang w:eastAsia="lt-LT"/>
        </w:rPr>
        <w:t>)</w:t>
      </w:r>
    </w:p>
    <w:p w14:paraId="187E62D9" w14:textId="05B5F9BC" w:rsidR="00D6156E" w:rsidRPr="0048531F" w:rsidRDefault="00D6156E" w:rsidP="000F3B26">
      <w:pPr>
        <w:pStyle w:val="Textbeitrauku"/>
        <w:numPr>
          <w:ilvl w:val="0"/>
          <w:numId w:val="8"/>
        </w:numPr>
        <w:tabs>
          <w:tab w:val="left" w:pos="1134"/>
          <w:tab w:val="left" w:pos="1276"/>
        </w:tabs>
        <w:spacing w:line="264" w:lineRule="auto"/>
        <w:ind w:left="0" w:firstLine="720"/>
        <w:rPr>
          <w:szCs w:val="24"/>
        </w:rPr>
      </w:pPr>
      <w:r>
        <w:rPr>
          <w:szCs w:val="24"/>
        </w:rPr>
        <w:t>82,8 tūkst. Eur Aplinkos apsaugos rėmimo programos lėšos (AA)</w:t>
      </w:r>
      <w:r w:rsidR="000F3B26">
        <w:rPr>
          <w:szCs w:val="24"/>
        </w:rPr>
        <w:t xml:space="preserve"> (g</w:t>
      </w:r>
      <w:r w:rsidR="000F3B26" w:rsidRPr="000C3B4A">
        <w:rPr>
          <w:bCs/>
          <w:spacing w:val="6"/>
          <w:szCs w:val="24"/>
          <w:lang w:eastAsia="lt-LT"/>
        </w:rPr>
        <w:t xml:space="preserve">avus daugiau nei planuota </w:t>
      </w:r>
      <w:r w:rsidR="000F3B26" w:rsidRPr="000C3B4A">
        <w:rPr>
          <w:spacing w:val="6"/>
          <w:szCs w:val="24"/>
        </w:rPr>
        <w:t>mokesčio už aplinkos teršimą</w:t>
      </w:r>
      <w:r w:rsidR="000F3B26" w:rsidRPr="000C3B4A">
        <w:rPr>
          <w:bCs/>
          <w:spacing w:val="6"/>
          <w:szCs w:val="24"/>
          <w:lang w:eastAsia="lt-LT"/>
        </w:rPr>
        <w:t xml:space="preserve"> skiriama Aplinkos apsaugos rėmimo specialiosios</w:t>
      </w:r>
      <w:r w:rsidR="000F3B26" w:rsidRPr="00BC5264">
        <w:rPr>
          <w:bCs/>
          <w:spacing w:val="6"/>
          <w:szCs w:val="24"/>
          <w:lang w:eastAsia="lt-LT"/>
        </w:rPr>
        <w:t xml:space="preserve"> programos</w:t>
      </w:r>
      <w:r w:rsidR="000F3B26">
        <w:rPr>
          <w:bCs/>
          <w:spacing w:val="6"/>
          <w:szCs w:val="24"/>
          <w:lang w:eastAsia="lt-LT"/>
        </w:rPr>
        <w:t xml:space="preserve"> priemonėms įgyvendinti)</w:t>
      </w:r>
    </w:p>
    <w:p w14:paraId="3389E6FF" w14:textId="5C87F7DF" w:rsidR="0048531F" w:rsidRDefault="0048531F" w:rsidP="000F3B26">
      <w:pPr>
        <w:spacing w:line="264" w:lineRule="auto"/>
        <w:ind w:firstLine="720"/>
        <w:jc w:val="both"/>
      </w:pPr>
    </w:p>
    <w:p w14:paraId="0E65E67D" w14:textId="77777777" w:rsidR="00B91544" w:rsidRPr="006F64D9" w:rsidRDefault="00B91544" w:rsidP="000F3B26">
      <w:pPr>
        <w:spacing w:line="264" w:lineRule="auto"/>
        <w:ind w:firstLine="720"/>
        <w:jc w:val="both"/>
        <w:rPr>
          <w:b/>
          <w:kern w:val="2"/>
        </w:rPr>
      </w:pPr>
      <w:r w:rsidRPr="006F64D9">
        <w:rPr>
          <w:b/>
          <w:kern w:val="2"/>
        </w:rPr>
        <w:t>Laukiami rezultatai:</w:t>
      </w:r>
      <w:r w:rsidRPr="006F64D9">
        <w:t xml:space="preserve"> </w:t>
      </w:r>
    </w:p>
    <w:p w14:paraId="7648117D" w14:textId="02C0AE4D" w:rsidR="00B91544" w:rsidRDefault="00B91544" w:rsidP="000F3B26">
      <w:pPr>
        <w:pStyle w:val="Textbeitrauku"/>
        <w:spacing w:line="264" w:lineRule="auto"/>
        <w:ind w:firstLine="720"/>
      </w:pPr>
      <w:r w:rsidRPr="006F64D9">
        <w:rPr>
          <w:szCs w:val="24"/>
        </w:rPr>
        <w:t xml:space="preserve">Patvirtinus </w:t>
      </w:r>
      <w:r w:rsidRPr="006F64D9">
        <w:t>Kėdainių rajono savivaldybės 202</w:t>
      </w:r>
      <w:r w:rsidR="00EE771A">
        <w:t>3</w:t>
      </w:r>
      <w:r w:rsidRPr="006F64D9">
        <w:t>–202</w:t>
      </w:r>
      <w:r w:rsidR="00EE771A">
        <w:t>5</w:t>
      </w:r>
      <w:r w:rsidRPr="006F64D9">
        <w:t xml:space="preserve"> metų strateginio veiklos plano </w:t>
      </w:r>
      <w:r w:rsidRPr="006F64D9">
        <w:rPr>
          <w:szCs w:val="24"/>
        </w:rPr>
        <w:t>pakeitimus</w:t>
      </w:r>
      <w:r w:rsidRPr="006F64D9">
        <w:t>, Savivaldybės administracija turės galimybę tinkamai įgyvendinti einamųjų metų programų priemones, reaguoti planuojant kitų metų priemones, dokumente atsispindės priemonėms patikslintas, sumažintas</w:t>
      </w:r>
      <w:r>
        <w:t xml:space="preserve"> ar papildomai skirtas/numatomas finansavimas iš Savivaldybės, </w:t>
      </w:r>
      <w:r w:rsidR="002C4D9D">
        <w:t>V</w:t>
      </w:r>
      <w:r>
        <w:t>alstybės, Europos Sąjungos biudžeto ir kitų finansavimo šaltinių.</w:t>
      </w:r>
    </w:p>
    <w:p w14:paraId="45D3DE92" w14:textId="77777777" w:rsidR="009626C3" w:rsidRDefault="009626C3" w:rsidP="00BA195B">
      <w:pPr>
        <w:pStyle w:val="Textbeitrauku"/>
        <w:ind w:firstLine="720"/>
      </w:pPr>
    </w:p>
    <w:p w14:paraId="6C0E721C" w14:textId="77777777" w:rsidR="00E633A1" w:rsidRDefault="00E633A1" w:rsidP="00123867">
      <w:pPr>
        <w:pStyle w:val="prastasiniatinklio"/>
        <w:spacing w:before="0" w:beforeAutospacing="0" w:after="0" w:afterAutospacing="0"/>
        <w:jc w:val="both"/>
        <w:rPr>
          <w:b/>
          <w:bCs/>
          <w:kern w:val="1"/>
        </w:rPr>
      </w:pPr>
      <w:r w:rsidRPr="00632467">
        <w:rPr>
          <w:b/>
          <w:bCs/>
          <w:kern w:val="1"/>
        </w:rPr>
        <w:t>Numatomo teisinio reguliavimo poveikio vertinimas*</w:t>
      </w:r>
    </w:p>
    <w:p w14:paraId="013C8BAB" w14:textId="77777777" w:rsidR="00E633A1" w:rsidRPr="00632467" w:rsidRDefault="00E633A1" w:rsidP="00E633A1">
      <w:pPr>
        <w:ind w:firstLine="709"/>
        <w:jc w:val="both"/>
        <w:rPr>
          <w:b/>
          <w:bCs/>
          <w:kern w:val="1"/>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693"/>
        <w:gridCol w:w="3119"/>
      </w:tblGrid>
      <w:tr w:rsidR="00E633A1" w:rsidRPr="00E633A1" w14:paraId="3A2D77C3" w14:textId="77777777" w:rsidTr="001E3B9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hideMark/>
          </w:tcPr>
          <w:p w14:paraId="0AC6DD64" w14:textId="77777777" w:rsidR="00E633A1" w:rsidRPr="00E633A1" w:rsidRDefault="00E633A1" w:rsidP="00EF5EED">
            <w:pPr>
              <w:jc w:val="center"/>
              <w:rPr>
                <w:b/>
                <w:kern w:val="1"/>
                <w:sz w:val="20"/>
                <w:szCs w:val="20"/>
                <w:lang w:bidi="lo-LA"/>
              </w:rPr>
            </w:pPr>
            <w:r w:rsidRPr="00E633A1">
              <w:rPr>
                <w:b/>
                <w:kern w:val="1"/>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A27F6A3" w14:textId="77777777" w:rsidR="00E633A1" w:rsidRPr="00E633A1" w:rsidRDefault="00E633A1" w:rsidP="00EF5EED">
            <w:pPr>
              <w:jc w:val="center"/>
              <w:rPr>
                <w:b/>
                <w:bCs/>
                <w:kern w:val="1"/>
                <w:sz w:val="20"/>
                <w:szCs w:val="20"/>
              </w:rPr>
            </w:pPr>
            <w:r w:rsidRPr="00E633A1">
              <w:rPr>
                <w:b/>
                <w:bCs/>
                <w:kern w:val="1"/>
                <w:sz w:val="20"/>
                <w:szCs w:val="20"/>
              </w:rPr>
              <w:t>Numatomo teisinio reguliavimo poveikio vertinimo rezultatai</w:t>
            </w:r>
          </w:p>
        </w:tc>
      </w:tr>
      <w:tr w:rsidR="00E633A1" w:rsidRPr="00E633A1" w14:paraId="17D0EDA1" w14:textId="77777777" w:rsidTr="001E3B97">
        <w:trPr>
          <w:trHeight w:val="180"/>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7D5839EF" w14:textId="77777777" w:rsidR="00E633A1" w:rsidRPr="00E633A1" w:rsidRDefault="00E633A1" w:rsidP="00EF5EED">
            <w:pPr>
              <w:rPr>
                <w:b/>
                <w:kern w:val="1"/>
                <w:sz w:val="20"/>
                <w:szCs w:val="20"/>
                <w:lang w:bidi="lo-LA"/>
              </w:rPr>
            </w:pPr>
          </w:p>
        </w:tc>
        <w:tc>
          <w:tcPr>
            <w:tcW w:w="2693" w:type="dxa"/>
            <w:tcBorders>
              <w:top w:val="single" w:sz="4" w:space="0" w:color="auto"/>
              <w:left w:val="single" w:sz="4" w:space="0" w:color="000000"/>
              <w:bottom w:val="single" w:sz="4" w:space="0" w:color="000000"/>
              <w:right w:val="single" w:sz="4" w:space="0" w:color="000000"/>
            </w:tcBorders>
            <w:hideMark/>
          </w:tcPr>
          <w:p w14:paraId="3CB36FEC" w14:textId="77777777" w:rsidR="00E633A1" w:rsidRPr="00E633A1" w:rsidRDefault="00E633A1" w:rsidP="00EF5EED">
            <w:pPr>
              <w:jc w:val="center"/>
              <w:rPr>
                <w:b/>
                <w:kern w:val="1"/>
                <w:sz w:val="20"/>
                <w:szCs w:val="20"/>
              </w:rPr>
            </w:pPr>
            <w:r w:rsidRPr="00E633A1">
              <w:rPr>
                <w:b/>
                <w:kern w:val="1"/>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4AD9925E" w14:textId="77777777" w:rsidR="00E633A1" w:rsidRPr="00E633A1" w:rsidRDefault="00E633A1" w:rsidP="00EF5EED">
            <w:pPr>
              <w:jc w:val="center"/>
              <w:rPr>
                <w:b/>
                <w:kern w:val="1"/>
                <w:sz w:val="20"/>
                <w:szCs w:val="20"/>
                <w:lang w:bidi="lo-LA"/>
              </w:rPr>
            </w:pPr>
            <w:r w:rsidRPr="00E633A1">
              <w:rPr>
                <w:b/>
                <w:kern w:val="1"/>
                <w:sz w:val="20"/>
                <w:szCs w:val="20"/>
              </w:rPr>
              <w:t>Neigiamas poveikis</w:t>
            </w:r>
          </w:p>
        </w:tc>
      </w:tr>
      <w:tr w:rsidR="00E633A1" w:rsidRPr="00E633A1" w14:paraId="56FA615D"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538E5EC" w14:textId="77777777" w:rsidR="00E633A1" w:rsidRPr="00E633A1" w:rsidRDefault="00E633A1" w:rsidP="00EF5EED">
            <w:pPr>
              <w:rPr>
                <w:i/>
                <w:kern w:val="1"/>
                <w:sz w:val="20"/>
                <w:szCs w:val="20"/>
                <w:lang w:bidi="lo-LA"/>
              </w:rPr>
            </w:pPr>
            <w:r w:rsidRPr="00E633A1">
              <w:rPr>
                <w:i/>
                <w:kern w:val="1"/>
                <w:sz w:val="20"/>
                <w:szCs w:val="20"/>
              </w:rPr>
              <w:t>Ekonomikai</w:t>
            </w:r>
          </w:p>
        </w:tc>
        <w:tc>
          <w:tcPr>
            <w:tcW w:w="2693" w:type="dxa"/>
            <w:tcBorders>
              <w:top w:val="single" w:sz="4" w:space="0" w:color="000000"/>
              <w:left w:val="single" w:sz="4" w:space="0" w:color="000000"/>
              <w:bottom w:val="single" w:sz="4" w:space="0" w:color="000000"/>
              <w:right w:val="single" w:sz="4" w:space="0" w:color="000000"/>
            </w:tcBorders>
          </w:tcPr>
          <w:p w14:paraId="32D95D8F"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7E71415" w14:textId="77777777" w:rsidR="00E633A1" w:rsidRPr="00E633A1" w:rsidRDefault="00E633A1" w:rsidP="00EF5EED">
            <w:pPr>
              <w:rPr>
                <w:i/>
                <w:kern w:val="1"/>
                <w:sz w:val="20"/>
                <w:szCs w:val="20"/>
                <w:lang w:bidi="lo-LA"/>
              </w:rPr>
            </w:pPr>
          </w:p>
        </w:tc>
      </w:tr>
      <w:tr w:rsidR="00E633A1" w:rsidRPr="00E633A1" w14:paraId="137A57F9"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E7610AA" w14:textId="77777777" w:rsidR="00E633A1" w:rsidRPr="00E633A1" w:rsidRDefault="00E633A1" w:rsidP="00EF5EED">
            <w:pPr>
              <w:rPr>
                <w:i/>
                <w:kern w:val="1"/>
                <w:sz w:val="20"/>
                <w:szCs w:val="20"/>
                <w:lang w:bidi="lo-LA"/>
              </w:rPr>
            </w:pPr>
            <w:r w:rsidRPr="00E633A1">
              <w:rPr>
                <w:i/>
                <w:kern w:val="1"/>
                <w:sz w:val="20"/>
                <w:szCs w:val="20"/>
              </w:rPr>
              <w:t>Finansams</w:t>
            </w:r>
          </w:p>
        </w:tc>
        <w:tc>
          <w:tcPr>
            <w:tcW w:w="2693" w:type="dxa"/>
            <w:tcBorders>
              <w:top w:val="single" w:sz="4" w:space="0" w:color="000000"/>
              <w:left w:val="single" w:sz="4" w:space="0" w:color="000000"/>
              <w:bottom w:val="single" w:sz="4" w:space="0" w:color="000000"/>
              <w:right w:val="single" w:sz="4" w:space="0" w:color="000000"/>
            </w:tcBorders>
          </w:tcPr>
          <w:p w14:paraId="726A2877"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D9F4DD8" w14:textId="77777777" w:rsidR="00E633A1" w:rsidRPr="00E633A1" w:rsidRDefault="00E633A1" w:rsidP="00EF5EED">
            <w:pPr>
              <w:rPr>
                <w:i/>
                <w:kern w:val="1"/>
                <w:sz w:val="20"/>
                <w:szCs w:val="20"/>
                <w:lang w:bidi="lo-LA"/>
              </w:rPr>
            </w:pPr>
          </w:p>
        </w:tc>
      </w:tr>
      <w:tr w:rsidR="00E633A1" w:rsidRPr="00E633A1" w14:paraId="49CBC3E0"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78DB2B6" w14:textId="77777777" w:rsidR="00E633A1" w:rsidRPr="00E633A1" w:rsidRDefault="00E633A1" w:rsidP="00EF5EED">
            <w:pPr>
              <w:rPr>
                <w:i/>
                <w:kern w:val="1"/>
                <w:sz w:val="20"/>
                <w:szCs w:val="20"/>
                <w:lang w:bidi="lo-LA"/>
              </w:rPr>
            </w:pPr>
            <w:r w:rsidRPr="00E633A1">
              <w:rPr>
                <w:i/>
                <w:kern w:val="1"/>
                <w:sz w:val="20"/>
                <w:szCs w:val="20"/>
              </w:rPr>
              <w:t>Socialinei aplinkai</w:t>
            </w:r>
          </w:p>
        </w:tc>
        <w:tc>
          <w:tcPr>
            <w:tcW w:w="2693" w:type="dxa"/>
            <w:tcBorders>
              <w:top w:val="single" w:sz="4" w:space="0" w:color="000000"/>
              <w:left w:val="single" w:sz="4" w:space="0" w:color="000000"/>
              <w:bottom w:val="single" w:sz="4" w:space="0" w:color="000000"/>
              <w:right w:val="single" w:sz="4" w:space="0" w:color="000000"/>
            </w:tcBorders>
          </w:tcPr>
          <w:p w14:paraId="720DE65A"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A4AFCAA" w14:textId="77777777" w:rsidR="00E633A1" w:rsidRPr="00E633A1" w:rsidRDefault="00E633A1" w:rsidP="00EF5EED">
            <w:pPr>
              <w:rPr>
                <w:i/>
                <w:kern w:val="1"/>
                <w:sz w:val="20"/>
                <w:szCs w:val="20"/>
                <w:lang w:bidi="lo-LA"/>
              </w:rPr>
            </w:pPr>
          </w:p>
        </w:tc>
      </w:tr>
      <w:tr w:rsidR="00E633A1" w:rsidRPr="00E633A1" w14:paraId="69E52314"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2926321B" w14:textId="77777777" w:rsidR="00E633A1" w:rsidRPr="00E633A1" w:rsidRDefault="00E633A1" w:rsidP="00EF5EED">
            <w:pPr>
              <w:rPr>
                <w:i/>
                <w:kern w:val="1"/>
                <w:sz w:val="20"/>
                <w:szCs w:val="20"/>
                <w:lang w:bidi="lo-LA"/>
              </w:rPr>
            </w:pPr>
            <w:r w:rsidRPr="00E633A1">
              <w:rPr>
                <w:i/>
                <w:kern w:val="1"/>
                <w:sz w:val="20"/>
                <w:szCs w:val="20"/>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14:paraId="395D0575"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0A73691" w14:textId="77777777" w:rsidR="00E633A1" w:rsidRPr="00E633A1" w:rsidRDefault="00E633A1" w:rsidP="00EF5EED">
            <w:pPr>
              <w:rPr>
                <w:i/>
                <w:kern w:val="1"/>
                <w:sz w:val="20"/>
                <w:szCs w:val="20"/>
                <w:lang w:bidi="lo-LA"/>
              </w:rPr>
            </w:pPr>
          </w:p>
        </w:tc>
      </w:tr>
      <w:tr w:rsidR="00E633A1" w:rsidRPr="00E633A1" w14:paraId="68D85A73"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67F9E45" w14:textId="77777777" w:rsidR="00E633A1" w:rsidRPr="00E633A1" w:rsidRDefault="00E633A1" w:rsidP="00EF5EED">
            <w:pPr>
              <w:rPr>
                <w:i/>
                <w:kern w:val="1"/>
                <w:sz w:val="20"/>
                <w:szCs w:val="20"/>
                <w:lang w:bidi="lo-LA"/>
              </w:rPr>
            </w:pPr>
            <w:r w:rsidRPr="00E633A1">
              <w:rPr>
                <w:i/>
                <w:kern w:val="1"/>
                <w:sz w:val="20"/>
                <w:szCs w:val="20"/>
              </w:rPr>
              <w:t>Teisinei sistemai</w:t>
            </w:r>
          </w:p>
        </w:tc>
        <w:tc>
          <w:tcPr>
            <w:tcW w:w="2693" w:type="dxa"/>
            <w:tcBorders>
              <w:top w:val="single" w:sz="4" w:space="0" w:color="000000"/>
              <w:left w:val="single" w:sz="4" w:space="0" w:color="000000"/>
              <w:bottom w:val="single" w:sz="4" w:space="0" w:color="000000"/>
              <w:right w:val="single" w:sz="4" w:space="0" w:color="000000"/>
            </w:tcBorders>
          </w:tcPr>
          <w:p w14:paraId="38E7750A"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281CE69" w14:textId="77777777" w:rsidR="00E633A1" w:rsidRPr="00E633A1" w:rsidRDefault="00E633A1" w:rsidP="00EF5EED">
            <w:pPr>
              <w:rPr>
                <w:i/>
                <w:kern w:val="1"/>
                <w:sz w:val="20"/>
                <w:szCs w:val="20"/>
                <w:lang w:bidi="lo-LA"/>
              </w:rPr>
            </w:pPr>
          </w:p>
        </w:tc>
      </w:tr>
      <w:tr w:rsidR="00E633A1" w:rsidRPr="00E633A1" w14:paraId="5AF1FF1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F12D27B" w14:textId="77777777" w:rsidR="00E633A1" w:rsidRPr="00E633A1" w:rsidRDefault="00E633A1" w:rsidP="00EF5EED">
            <w:pPr>
              <w:rPr>
                <w:i/>
                <w:kern w:val="1"/>
                <w:sz w:val="20"/>
                <w:szCs w:val="20"/>
                <w:lang w:bidi="lo-LA"/>
              </w:rPr>
            </w:pPr>
            <w:r w:rsidRPr="00E633A1">
              <w:rPr>
                <w:i/>
                <w:kern w:val="1"/>
                <w:sz w:val="20"/>
                <w:szCs w:val="20"/>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14:paraId="20219752"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B6E813" w14:textId="77777777" w:rsidR="00E633A1" w:rsidRPr="00E633A1" w:rsidRDefault="00E633A1" w:rsidP="00EF5EED">
            <w:pPr>
              <w:rPr>
                <w:i/>
                <w:kern w:val="1"/>
                <w:sz w:val="20"/>
                <w:szCs w:val="20"/>
                <w:lang w:bidi="lo-LA"/>
              </w:rPr>
            </w:pPr>
          </w:p>
        </w:tc>
      </w:tr>
      <w:tr w:rsidR="00E633A1" w:rsidRPr="00E633A1" w14:paraId="42F54138"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0D3D533" w14:textId="77777777" w:rsidR="00E633A1" w:rsidRPr="00E633A1" w:rsidRDefault="00E633A1" w:rsidP="00EF5EED">
            <w:pPr>
              <w:rPr>
                <w:i/>
                <w:kern w:val="1"/>
                <w:sz w:val="20"/>
                <w:szCs w:val="20"/>
                <w:lang w:bidi="lo-LA"/>
              </w:rPr>
            </w:pPr>
            <w:r w:rsidRPr="00E633A1">
              <w:rPr>
                <w:i/>
                <w:kern w:val="1"/>
                <w:sz w:val="20"/>
                <w:szCs w:val="20"/>
              </w:rPr>
              <w:t>Aplinkai</w:t>
            </w:r>
          </w:p>
        </w:tc>
        <w:tc>
          <w:tcPr>
            <w:tcW w:w="2693" w:type="dxa"/>
            <w:tcBorders>
              <w:top w:val="single" w:sz="4" w:space="0" w:color="000000"/>
              <w:left w:val="single" w:sz="4" w:space="0" w:color="000000"/>
              <w:bottom w:val="single" w:sz="4" w:space="0" w:color="000000"/>
              <w:right w:val="single" w:sz="4" w:space="0" w:color="000000"/>
            </w:tcBorders>
          </w:tcPr>
          <w:p w14:paraId="29A6AFB7"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AAFBD11" w14:textId="77777777" w:rsidR="00E633A1" w:rsidRPr="00E633A1" w:rsidRDefault="00E633A1" w:rsidP="00EF5EED">
            <w:pPr>
              <w:rPr>
                <w:i/>
                <w:kern w:val="1"/>
                <w:sz w:val="20"/>
                <w:szCs w:val="20"/>
                <w:lang w:bidi="lo-LA"/>
              </w:rPr>
            </w:pPr>
          </w:p>
        </w:tc>
      </w:tr>
      <w:tr w:rsidR="00E633A1" w:rsidRPr="00E633A1" w14:paraId="0230266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5D3C78D" w14:textId="77777777" w:rsidR="00E633A1" w:rsidRPr="00E633A1" w:rsidRDefault="00E633A1" w:rsidP="00EF5EED">
            <w:pPr>
              <w:rPr>
                <w:i/>
                <w:kern w:val="1"/>
                <w:sz w:val="20"/>
                <w:szCs w:val="20"/>
                <w:lang w:bidi="lo-LA"/>
              </w:rPr>
            </w:pPr>
            <w:r w:rsidRPr="00E633A1">
              <w:rPr>
                <w:i/>
                <w:kern w:val="1"/>
                <w:sz w:val="20"/>
                <w:szCs w:val="20"/>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14:paraId="389B4DA1"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8FDF86C" w14:textId="77777777" w:rsidR="00E633A1" w:rsidRPr="00E633A1" w:rsidRDefault="00E633A1" w:rsidP="00EF5EED">
            <w:pPr>
              <w:rPr>
                <w:i/>
                <w:kern w:val="1"/>
                <w:sz w:val="20"/>
                <w:szCs w:val="20"/>
                <w:lang w:bidi="lo-LA"/>
              </w:rPr>
            </w:pPr>
          </w:p>
        </w:tc>
      </w:tr>
      <w:tr w:rsidR="00E633A1" w:rsidRPr="00E633A1" w14:paraId="14DBCBB2"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0C3DBE65" w14:textId="77777777" w:rsidR="00E633A1" w:rsidRPr="00E633A1" w:rsidRDefault="00E633A1" w:rsidP="00EF5EED">
            <w:pPr>
              <w:rPr>
                <w:i/>
                <w:kern w:val="1"/>
                <w:sz w:val="20"/>
                <w:szCs w:val="20"/>
                <w:lang w:bidi="lo-LA"/>
              </w:rPr>
            </w:pPr>
            <w:r w:rsidRPr="00E633A1">
              <w:rPr>
                <w:i/>
                <w:kern w:val="1"/>
                <w:sz w:val="20"/>
                <w:szCs w:val="20"/>
              </w:rPr>
              <w:t>Regiono plėtrai</w:t>
            </w:r>
          </w:p>
        </w:tc>
        <w:tc>
          <w:tcPr>
            <w:tcW w:w="2693" w:type="dxa"/>
            <w:tcBorders>
              <w:top w:val="single" w:sz="4" w:space="0" w:color="000000"/>
              <w:left w:val="single" w:sz="4" w:space="0" w:color="000000"/>
              <w:bottom w:val="single" w:sz="4" w:space="0" w:color="000000"/>
              <w:right w:val="single" w:sz="4" w:space="0" w:color="000000"/>
            </w:tcBorders>
          </w:tcPr>
          <w:p w14:paraId="37BDEA08"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BC80E5D" w14:textId="77777777" w:rsidR="00E633A1" w:rsidRPr="00E633A1" w:rsidRDefault="00E633A1" w:rsidP="00EF5EED">
            <w:pPr>
              <w:rPr>
                <w:i/>
                <w:kern w:val="1"/>
                <w:sz w:val="20"/>
                <w:szCs w:val="20"/>
                <w:lang w:bidi="lo-LA"/>
              </w:rPr>
            </w:pPr>
          </w:p>
        </w:tc>
      </w:tr>
      <w:tr w:rsidR="00E633A1" w:rsidRPr="00E633A1" w14:paraId="7FAF7851"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F223132" w14:textId="77777777" w:rsidR="00E633A1" w:rsidRPr="00E633A1" w:rsidRDefault="00E633A1" w:rsidP="00EF5EED">
            <w:pPr>
              <w:rPr>
                <w:i/>
                <w:kern w:val="1"/>
                <w:sz w:val="20"/>
                <w:szCs w:val="20"/>
                <w:lang w:bidi="lo-LA"/>
              </w:rPr>
            </w:pPr>
            <w:r w:rsidRPr="00E633A1">
              <w:rPr>
                <w:i/>
                <w:kern w:val="1"/>
                <w:sz w:val="20"/>
                <w:szCs w:val="20"/>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14:paraId="6DC63A94"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8C243CA" w14:textId="77777777" w:rsidR="00E633A1" w:rsidRPr="00E633A1" w:rsidRDefault="00E633A1" w:rsidP="00EF5EED">
            <w:pPr>
              <w:rPr>
                <w:i/>
                <w:kern w:val="1"/>
                <w:sz w:val="20"/>
                <w:szCs w:val="20"/>
                <w:lang w:bidi="lo-LA"/>
              </w:rPr>
            </w:pPr>
          </w:p>
        </w:tc>
      </w:tr>
    </w:tbl>
    <w:p w14:paraId="09A7B6C3" w14:textId="77777777" w:rsidR="00E633A1" w:rsidRPr="00632467" w:rsidRDefault="00E633A1" w:rsidP="00E633A1">
      <w:pPr>
        <w:jc w:val="both"/>
        <w:rPr>
          <w:color w:val="FF0000"/>
          <w:kern w:val="1"/>
          <w:lang w:bidi="lo-LA"/>
        </w:rPr>
      </w:pPr>
    </w:p>
    <w:p w14:paraId="021B09B8" w14:textId="77777777" w:rsidR="00E633A1" w:rsidRPr="00632467" w:rsidRDefault="00E633A1" w:rsidP="00E633A1">
      <w:pPr>
        <w:jc w:val="both"/>
        <w:rPr>
          <w:kern w:val="1"/>
          <w:lang w:bidi="lo-LA"/>
        </w:rPr>
      </w:pPr>
      <w:r w:rsidRPr="00632467">
        <w:rPr>
          <w:b/>
          <w:kern w:val="1"/>
          <w:lang w:bidi="lo-LA"/>
        </w:rPr>
        <w:t>*</w:t>
      </w:r>
      <w:r w:rsidRPr="00632467">
        <w:rPr>
          <w:bCs/>
          <w:kern w:val="1"/>
        </w:rPr>
        <w:t xml:space="preserve"> Numatomo teisinio reguliavimo poveikio vertinimas atliekamas r</w:t>
      </w:r>
      <w:r w:rsidRPr="00632467">
        <w:rPr>
          <w:kern w:val="1"/>
        </w:rPr>
        <w:t>engiant teisės akto, kuriuo numatoma reglamentuoti iki tol nereglamentuotus santykius, taip pat kuriuo iš esmės keičiamas teisinis reguliavimas, projektą.</w:t>
      </w:r>
      <w:r w:rsidRPr="00632467">
        <w:rPr>
          <w:kern w:val="1"/>
          <w:lang w:bidi="lo-LA"/>
        </w:rPr>
        <w:t xml:space="preserve"> </w:t>
      </w:r>
      <w:r w:rsidRPr="00632467">
        <w:rPr>
          <w:kern w:val="1"/>
        </w:rPr>
        <w:t>Atliekant vertinimą, nustatomas galimas teigiamas ir neigiamas poveikis to teisinio reguliavimo sričiai, asmenims ar jų grupėms, kuriems bus taikomas numatomas teisinis reguliavimas.</w:t>
      </w:r>
    </w:p>
    <w:p w14:paraId="62509821" w14:textId="77777777" w:rsidR="00E633A1" w:rsidRPr="00632467" w:rsidRDefault="00E633A1" w:rsidP="00E633A1">
      <w:pPr>
        <w:rPr>
          <w:kern w:val="1"/>
          <w:lang w:eastAsia="lt-LT"/>
        </w:rPr>
      </w:pPr>
    </w:p>
    <w:p w14:paraId="48E92459" w14:textId="77777777" w:rsidR="00E633A1" w:rsidRPr="00632467" w:rsidRDefault="00E633A1" w:rsidP="00E633A1">
      <w:pPr>
        <w:jc w:val="both"/>
        <w:rPr>
          <w:kern w:val="1"/>
        </w:rPr>
      </w:pPr>
      <w:r w:rsidRPr="00632467">
        <w:rPr>
          <w:kern w:val="1"/>
        </w:rPr>
        <w:tab/>
      </w:r>
      <w:r w:rsidRPr="00632467">
        <w:rPr>
          <w:kern w:val="1"/>
        </w:rPr>
        <w:tab/>
      </w:r>
    </w:p>
    <w:p w14:paraId="33244C90" w14:textId="77777777" w:rsidR="00E633A1" w:rsidRDefault="00E633A1" w:rsidP="00E633A1">
      <w:pPr>
        <w:jc w:val="both"/>
        <w:rPr>
          <w:kern w:val="1"/>
        </w:rPr>
      </w:pPr>
      <w:r w:rsidRPr="00632467">
        <w:rPr>
          <w:kern w:val="1"/>
        </w:rPr>
        <w:tab/>
      </w:r>
    </w:p>
    <w:p w14:paraId="129A0F2D" w14:textId="77777777" w:rsidR="00E633A1" w:rsidRPr="00632467" w:rsidRDefault="00E633A1" w:rsidP="00E633A1">
      <w:pPr>
        <w:jc w:val="both"/>
        <w:rPr>
          <w:kern w:val="1"/>
        </w:rPr>
      </w:pPr>
      <w:r w:rsidRPr="00632467">
        <w:rPr>
          <w:kern w:val="1"/>
        </w:rPr>
        <w:t xml:space="preserve">  </w:t>
      </w:r>
    </w:p>
    <w:p w14:paraId="3B44E32D" w14:textId="77777777" w:rsidR="00E633A1" w:rsidRPr="00632467" w:rsidRDefault="00E633A1" w:rsidP="00E633A1">
      <w:r w:rsidRPr="00632467">
        <w:rPr>
          <w:kern w:val="1"/>
        </w:rPr>
        <w:t>Strateginio planavimo ir investicijų skyriaus vedėja</w:t>
      </w:r>
      <w:r w:rsidRPr="00632467">
        <w:rPr>
          <w:kern w:val="1"/>
        </w:rPr>
        <w:tab/>
        <w:t xml:space="preserve">            </w:t>
      </w:r>
      <w:r w:rsidRPr="00632467">
        <w:rPr>
          <w:kern w:val="1"/>
        </w:rPr>
        <w:tab/>
        <w:t xml:space="preserve">              Kristina Kemešienė</w:t>
      </w:r>
    </w:p>
    <w:p w14:paraId="5CCC072B" w14:textId="77777777" w:rsidR="00DA5712" w:rsidRDefault="00DA5712" w:rsidP="000A6105"/>
    <w:sectPr w:rsidR="00DA5712" w:rsidSect="000A6105">
      <w:pgSz w:w="11906" w:h="16838"/>
      <w:pgMar w:top="1134"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8BA07" w14:textId="77777777" w:rsidR="00231FC6" w:rsidRDefault="00231FC6" w:rsidP="008208A7">
      <w:r>
        <w:separator/>
      </w:r>
    </w:p>
  </w:endnote>
  <w:endnote w:type="continuationSeparator" w:id="0">
    <w:p w14:paraId="461305D2" w14:textId="77777777" w:rsidR="00231FC6" w:rsidRDefault="00231FC6" w:rsidP="0082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1E7B0" w14:textId="77777777" w:rsidR="00231FC6" w:rsidRDefault="00231FC6" w:rsidP="008208A7">
      <w:r>
        <w:separator/>
      </w:r>
    </w:p>
  </w:footnote>
  <w:footnote w:type="continuationSeparator" w:id="0">
    <w:p w14:paraId="24CF6D4E" w14:textId="77777777" w:rsidR="00231FC6" w:rsidRDefault="00231FC6" w:rsidP="00820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27C9"/>
    <w:multiLevelType w:val="hybridMultilevel"/>
    <w:tmpl w:val="FB3E2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0078A"/>
    <w:multiLevelType w:val="hybridMultilevel"/>
    <w:tmpl w:val="12DE3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F9472A"/>
    <w:multiLevelType w:val="hybridMultilevel"/>
    <w:tmpl w:val="C1B2689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20E23BF1"/>
    <w:multiLevelType w:val="hybridMultilevel"/>
    <w:tmpl w:val="9392D61C"/>
    <w:lvl w:ilvl="0" w:tplc="68ECB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2D459B3"/>
    <w:multiLevelType w:val="hybridMultilevel"/>
    <w:tmpl w:val="A01E2E3C"/>
    <w:lvl w:ilvl="0" w:tplc="694CFA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0C0631C"/>
    <w:multiLevelType w:val="hybridMultilevel"/>
    <w:tmpl w:val="EA405546"/>
    <w:lvl w:ilvl="0" w:tplc="F3A45A78">
      <w:start w:val="1"/>
      <w:numFmt w:val="bullet"/>
      <w:lvlText w:val="•"/>
      <w:lvlJc w:val="left"/>
      <w:pPr>
        <w:tabs>
          <w:tab w:val="num" w:pos="720"/>
        </w:tabs>
        <w:ind w:left="720" w:hanging="360"/>
      </w:pPr>
      <w:rPr>
        <w:rFonts w:ascii="Arial" w:hAnsi="Arial" w:hint="default"/>
      </w:rPr>
    </w:lvl>
    <w:lvl w:ilvl="1" w:tplc="18503A0E" w:tentative="1">
      <w:start w:val="1"/>
      <w:numFmt w:val="bullet"/>
      <w:lvlText w:val="•"/>
      <w:lvlJc w:val="left"/>
      <w:pPr>
        <w:tabs>
          <w:tab w:val="num" w:pos="1440"/>
        </w:tabs>
        <w:ind w:left="1440" w:hanging="360"/>
      </w:pPr>
      <w:rPr>
        <w:rFonts w:ascii="Arial" w:hAnsi="Arial" w:hint="default"/>
      </w:rPr>
    </w:lvl>
    <w:lvl w:ilvl="2" w:tplc="AEA45780" w:tentative="1">
      <w:start w:val="1"/>
      <w:numFmt w:val="bullet"/>
      <w:lvlText w:val="•"/>
      <w:lvlJc w:val="left"/>
      <w:pPr>
        <w:tabs>
          <w:tab w:val="num" w:pos="2160"/>
        </w:tabs>
        <w:ind w:left="2160" w:hanging="360"/>
      </w:pPr>
      <w:rPr>
        <w:rFonts w:ascii="Arial" w:hAnsi="Arial" w:hint="default"/>
      </w:rPr>
    </w:lvl>
    <w:lvl w:ilvl="3" w:tplc="2F24E818" w:tentative="1">
      <w:start w:val="1"/>
      <w:numFmt w:val="bullet"/>
      <w:lvlText w:val="•"/>
      <w:lvlJc w:val="left"/>
      <w:pPr>
        <w:tabs>
          <w:tab w:val="num" w:pos="2880"/>
        </w:tabs>
        <w:ind w:left="2880" w:hanging="360"/>
      </w:pPr>
      <w:rPr>
        <w:rFonts w:ascii="Arial" w:hAnsi="Arial" w:hint="default"/>
      </w:rPr>
    </w:lvl>
    <w:lvl w:ilvl="4" w:tplc="A6EC5086" w:tentative="1">
      <w:start w:val="1"/>
      <w:numFmt w:val="bullet"/>
      <w:lvlText w:val="•"/>
      <w:lvlJc w:val="left"/>
      <w:pPr>
        <w:tabs>
          <w:tab w:val="num" w:pos="3600"/>
        </w:tabs>
        <w:ind w:left="3600" w:hanging="360"/>
      </w:pPr>
      <w:rPr>
        <w:rFonts w:ascii="Arial" w:hAnsi="Arial" w:hint="default"/>
      </w:rPr>
    </w:lvl>
    <w:lvl w:ilvl="5" w:tplc="B232BDC0" w:tentative="1">
      <w:start w:val="1"/>
      <w:numFmt w:val="bullet"/>
      <w:lvlText w:val="•"/>
      <w:lvlJc w:val="left"/>
      <w:pPr>
        <w:tabs>
          <w:tab w:val="num" w:pos="4320"/>
        </w:tabs>
        <w:ind w:left="4320" w:hanging="360"/>
      </w:pPr>
      <w:rPr>
        <w:rFonts w:ascii="Arial" w:hAnsi="Arial" w:hint="default"/>
      </w:rPr>
    </w:lvl>
    <w:lvl w:ilvl="6" w:tplc="126C0510" w:tentative="1">
      <w:start w:val="1"/>
      <w:numFmt w:val="bullet"/>
      <w:lvlText w:val="•"/>
      <w:lvlJc w:val="left"/>
      <w:pPr>
        <w:tabs>
          <w:tab w:val="num" w:pos="5040"/>
        </w:tabs>
        <w:ind w:left="5040" w:hanging="360"/>
      </w:pPr>
      <w:rPr>
        <w:rFonts w:ascii="Arial" w:hAnsi="Arial" w:hint="default"/>
      </w:rPr>
    </w:lvl>
    <w:lvl w:ilvl="7" w:tplc="B316D8F8" w:tentative="1">
      <w:start w:val="1"/>
      <w:numFmt w:val="bullet"/>
      <w:lvlText w:val="•"/>
      <w:lvlJc w:val="left"/>
      <w:pPr>
        <w:tabs>
          <w:tab w:val="num" w:pos="5760"/>
        </w:tabs>
        <w:ind w:left="5760" w:hanging="360"/>
      </w:pPr>
      <w:rPr>
        <w:rFonts w:ascii="Arial" w:hAnsi="Arial" w:hint="default"/>
      </w:rPr>
    </w:lvl>
    <w:lvl w:ilvl="8" w:tplc="4F2E29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60A5320"/>
    <w:multiLevelType w:val="hybridMultilevel"/>
    <w:tmpl w:val="977030A8"/>
    <w:lvl w:ilvl="0" w:tplc="68ECB288">
      <w:start w:val="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7" w15:restartNumberingAfterBreak="0">
    <w:nsid w:val="74D97CE9"/>
    <w:multiLevelType w:val="hybridMultilevel"/>
    <w:tmpl w:val="BAB40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720"/>
  <w:hyphenationZone w:val="396"/>
  <w:drawingGridHorizontalSpacing w:val="18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4C"/>
    <w:rsid w:val="00000655"/>
    <w:rsid w:val="0001311F"/>
    <w:rsid w:val="000142CE"/>
    <w:rsid w:val="00015CC1"/>
    <w:rsid w:val="000208E9"/>
    <w:rsid w:val="000275B2"/>
    <w:rsid w:val="0003057A"/>
    <w:rsid w:val="00031671"/>
    <w:rsid w:val="00032429"/>
    <w:rsid w:val="00032777"/>
    <w:rsid w:val="00040A6B"/>
    <w:rsid w:val="000539D1"/>
    <w:rsid w:val="000547EF"/>
    <w:rsid w:val="000610D8"/>
    <w:rsid w:val="000669BA"/>
    <w:rsid w:val="00072434"/>
    <w:rsid w:val="0008390B"/>
    <w:rsid w:val="00092017"/>
    <w:rsid w:val="000961DB"/>
    <w:rsid w:val="000A6105"/>
    <w:rsid w:val="000B3862"/>
    <w:rsid w:val="000B7D44"/>
    <w:rsid w:val="000D1A4D"/>
    <w:rsid w:val="000F3B26"/>
    <w:rsid w:val="000F65E0"/>
    <w:rsid w:val="00105139"/>
    <w:rsid w:val="00113745"/>
    <w:rsid w:val="00122C74"/>
    <w:rsid w:val="00123867"/>
    <w:rsid w:val="00134533"/>
    <w:rsid w:val="00136BE7"/>
    <w:rsid w:val="00150886"/>
    <w:rsid w:val="0015213F"/>
    <w:rsid w:val="00157B0D"/>
    <w:rsid w:val="00170BF8"/>
    <w:rsid w:val="00173B95"/>
    <w:rsid w:val="00175891"/>
    <w:rsid w:val="00177A6B"/>
    <w:rsid w:val="00182429"/>
    <w:rsid w:val="0019267D"/>
    <w:rsid w:val="001A2C11"/>
    <w:rsid w:val="001B063A"/>
    <w:rsid w:val="001B1A06"/>
    <w:rsid w:val="001B6D29"/>
    <w:rsid w:val="001D2EC1"/>
    <w:rsid w:val="001E3B97"/>
    <w:rsid w:val="001E53E6"/>
    <w:rsid w:val="001F3FAC"/>
    <w:rsid w:val="00204C4F"/>
    <w:rsid w:val="002067FA"/>
    <w:rsid w:val="002124AF"/>
    <w:rsid w:val="00231FC6"/>
    <w:rsid w:val="00232E27"/>
    <w:rsid w:val="00240600"/>
    <w:rsid w:val="00243A62"/>
    <w:rsid w:val="00245BAA"/>
    <w:rsid w:val="0025108B"/>
    <w:rsid w:val="00264E42"/>
    <w:rsid w:val="00265D57"/>
    <w:rsid w:val="00270769"/>
    <w:rsid w:val="00272E60"/>
    <w:rsid w:val="0027400A"/>
    <w:rsid w:val="0027482E"/>
    <w:rsid w:val="00276746"/>
    <w:rsid w:val="002828E0"/>
    <w:rsid w:val="00286DD1"/>
    <w:rsid w:val="00293141"/>
    <w:rsid w:val="00294EEE"/>
    <w:rsid w:val="002A27EC"/>
    <w:rsid w:val="002B3C2D"/>
    <w:rsid w:val="002C4D9D"/>
    <w:rsid w:val="002D4EFE"/>
    <w:rsid w:val="002F33AB"/>
    <w:rsid w:val="002F4186"/>
    <w:rsid w:val="0030604C"/>
    <w:rsid w:val="00311CBF"/>
    <w:rsid w:val="00316DF0"/>
    <w:rsid w:val="003263B2"/>
    <w:rsid w:val="003308D1"/>
    <w:rsid w:val="00341432"/>
    <w:rsid w:val="00361479"/>
    <w:rsid w:val="00365ABD"/>
    <w:rsid w:val="00366666"/>
    <w:rsid w:val="00373915"/>
    <w:rsid w:val="00381DAD"/>
    <w:rsid w:val="00386E32"/>
    <w:rsid w:val="00390B08"/>
    <w:rsid w:val="0039682F"/>
    <w:rsid w:val="003C02D6"/>
    <w:rsid w:val="003C03F0"/>
    <w:rsid w:val="003D44CB"/>
    <w:rsid w:val="003D7A78"/>
    <w:rsid w:val="003E4B16"/>
    <w:rsid w:val="004108E4"/>
    <w:rsid w:val="00416ADD"/>
    <w:rsid w:val="0042073F"/>
    <w:rsid w:val="004268D3"/>
    <w:rsid w:val="00430335"/>
    <w:rsid w:val="0043728A"/>
    <w:rsid w:val="00441C56"/>
    <w:rsid w:val="00443DCD"/>
    <w:rsid w:val="00443F35"/>
    <w:rsid w:val="004619CE"/>
    <w:rsid w:val="00467266"/>
    <w:rsid w:val="0048531F"/>
    <w:rsid w:val="0048761D"/>
    <w:rsid w:val="00496388"/>
    <w:rsid w:val="004A05D1"/>
    <w:rsid w:val="004B0A16"/>
    <w:rsid w:val="004D4C8C"/>
    <w:rsid w:val="004E012C"/>
    <w:rsid w:val="004E2811"/>
    <w:rsid w:val="004F04C1"/>
    <w:rsid w:val="004F1532"/>
    <w:rsid w:val="00501354"/>
    <w:rsid w:val="00510604"/>
    <w:rsid w:val="00513930"/>
    <w:rsid w:val="00526F99"/>
    <w:rsid w:val="005305A5"/>
    <w:rsid w:val="00540971"/>
    <w:rsid w:val="0054228E"/>
    <w:rsid w:val="005547F5"/>
    <w:rsid w:val="005651BF"/>
    <w:rsid w:val="0056679A"/>
    <w:rsid w:val="00570DB0"/>
    <w:rsid w:val="005954BA"/>
    <w:rsid w:val="005A7ED3"/>
    <w:rsid w:val="005B2B6D"/>
    <w:rsid w:val="005D41E6"/>
    <w:rsid w:val="005E4285"/>
    <w:rsid w:val="005F4BD9"/>
    <w:rsid w:val="005F71F6"/>
    <w:rsid w:val="006142B9"/>
    <w:rsid w:val="00616917"/>
    <w:rsid w:val="00627B7E"/>
    <w:rsid w:val="00634858"/>
    <w:rsid w:val="00644C1B"/>
    <w:rsid w:val="00660325"/>
    <w:rsid w:val="0068466E"/>
    <w:rsid w:val="006919E2"/>
    <w:rsid w:val="006A2716"/>
    <w:rsid w:val="006B004A"/>
    <w:rsid w:val="006B0FBF"/>
    <w:rsid w:val="006D1E17"/>
    <w:rsid w:val="006D5F6A"/>
    <w:rsid w:val="006E008E"/>
    <w:rsid w:val="006F1454"/>
    <w:rsid w:val="006F1586"/>
    <w:rsid w:val="006F64D9"/>
    <w:rsid w:val="007313B9"/>
    <w:rsid w:val="00733994"/>
    <w:rsid w:val="00736C31"/>
    <w:rsid w:val="0075554A"/>
    <w:rsid w:val="00760512"/>
    <w:rsid w:val="00765806"/>
    <w:rsid w:val="007731D8"/>
    <w:rsid w:val="00773E1D"/>
    <w:rsid w:val="00776299"/>
    <w:rsid w:val="0078625A"/>
    <w:rsid w:val="00796219"/>
    <w:rsid w:val="007A157C"/>
    <w:rsid w:val="007A4702"/>
    <w:rsid w:val="007B2147"/>
    <w:rsid w:val="007C0629"/>
    <w:rsid w:val="007D11BB"/>
    <w:rsid w:val="007E5890"/>
    <w:rsid w:val="007E7BF3"/>
    <w:rsid w:val="007F1DD9"/>
    <w:rsid w:val="007F2581"/>
    <w:rsid w:val="008005EF"/>
    <w:rsid w:val="00800F1B"/>
    <w:rsid w:val="00803A2F"/>
    <w:rsid w:val="008208A7"/>
    <w:rsid w:val="008258AA"/>
    <w:rsid w:val="00827685"/>
    <w:rsid w:val="00837347"/>
    <w:rsid w:val="00841926"/>
    <w:rsid w:val="00844C30"/>
    <w:rsid w:val="008502D1"/>
    <w:rsid w:val="00852CE9"/>
    <w:rsid w:val="008533E7"/>
    <w:rsid w:val="00860A2F"/>
    <w:rsid w:val="008610EB"/>
    <w:rsid w:val="0086137B"/>
    <w:rsid w:val="008621F9"/>
    <w:rsid w:val="0087403A"/>
    <w:rsid w:val="00874D6C"/>
    <w:rsid w:val="00876F8E"/>
    <w:rsid w:val="00893BC7"/>
    <w:rsid w:val="00893EEC"/>
    <w:rsid w:val="008A1292"/>
    <w:rsid w:val="008A26EF"/>
    <w:rsid w:val="008A3E32"/>
    <w:rsid w:val="008C17F4"/>
    <w:rsid w:val="008D325D"/>
    <w:rsid w:val="008E0256"/>
    <w:rsid w:val="008F13F7"/>
    <w:rsid w:val="008F3325"/>
    <w:rsid w:val="008F464A"/>
    <w:rsid w:val="008F5987"/>
    <w:rsid w:val="008F71E6"/>
    <w:rsid w:val="00900F4D"/>
    <w:rsid w:val="0090627A"/>
    <w:rsid w:val="00921D33"/>
    <w:rsid w:val="00922923"/>
    <w:rsid w:val="00932C4C"/>
    <w:rsid w:val="009557AC"/>
    <w:rsid w:val="00955A15"/>
    <w:rsid w:val="009626C3"/>
    <w:rsid w:val="009642D5"/>
    <w:rsid w:val="0097277A"/>
    <w:rsid w:val="00977C28"/>
    <w:rsid w:val="00991837"/>
    <w:rsid w:val="009B4CD8"/>
    <w:rsid w:val="009B65A0"/>
    <w:rsid w:val="009C36C6"/>
    <w:rsid w:val="009D688D"/>
    <w:rsid w:val="009E7C6E"/>
    <w:rsid w:val="009F3256"/>
    <w:rsid w:val="00A01B51"/>
    <w:rsid w:val="00A02A07"/>
    <w:rsid w:val="00A14692"/>
    <w:rsid w:val="00A174E4"/>
    <w:rsid w:val="00A37B4E"/>
    <w:rsid w:val="00A41B0B"/>
    <w:rsid w:val="00A50ED6"/>
    <w:rsid w:val="00A678C9"/>
    <w:rsid w:val="00A724CA"/>
    <w:rsid w:val="00A735B8"/>
    <w:rsid w:val="00A756BD"/>
    <w:rsid w:val="00A81B73"/>
    <w:rsid w:val="00A8461E"/>
    <w:rsid w:val="00A94109"/>
    <w:rsid w:val="00AA5581"/>
    <w:rsid w:val="00AC6A79"/>
    <w:rsid w:val="00AD60DF"/>
    <w:rsid w:val="00AE29DB"/>
    <w:rsid w:val="00AF473F"/>
    <w:rsid w:val="00B016FA"/>
    <w:rsid w:val="00B05FFC"/>
    <w:rsid w:val="00B12427"/>
    <w:rsid w:val="00B1444A"/>
    <w:rsid w:val="00B21A29"/>
    <w:rsid w:val="00B4563C"/>
    <w:rsid w:val="00B56BE2"/>
    <w:rsid w:val="00B64985"/>
    <w:rsid w:val="00B666C2"/>
    <w:rsid w:val="00B6789E"/>
    <w:rsid w:val="00B72C93"/>
    <w:rsid w:val="00B74710"/>
    <w:rsid w:val="00B83B39"/>
    <w:rsid w:val="00B87785"/>
    <w:rsid w:val="00B91544"/>
    <w:rsid w:val="00B92E10"/>
    <w:rsid w:val="00BA195B"/>
    <w:rsid w:val="00BA39B7"/>
    <w:rsid w:val="00BA54A2"/>
    <w:rsid w:val="00BB03CC"/>
    <w:rsid w:val="00BB076A"/>
    <w:rsid w:val="00BB1620"/>
    <w:rsid w:val="00BC1638"/>
    <w:rsid w:val="00BC4C84"/>
    <w:rsid w:val="00BC5F65"/>
    <w:rsid w:val="00BE0254"/>
    <w:rsid w:val="00BE6FA5"/>
    <w:rsid w:val="00BE7D28"/>
    <w:rsid w:val="00BF0067"/>
    <w:rsid w:val="00C1131E"/>
    <w:rsid w:val="00C1276F"/>
    <w:rsid w:val="00C155B0"/>
    <w:rsid w:val="00C352AD"/>
    <w:rsid w:val="00C40F50"/>
    <w:rsid w:val="00C41DD9"/>
    <w:rsid w:val="00C432D7"/>
    <w:rsid w:val="00C56275"/>
    <w:rsid w:val="00C577FF"/>
    <w:rsid w:val="00C6362F"/>
    <w:rsid w:val="00C966EE"/>
    <w:rsid w:val="00CA1B1F"/>
    <w:rsid w:val="00CA3B35"/>
    <w:rsid w:val="00CA636B"/>
    <w:rsid w:val="00CB0485"/>
    <w:rsid w:val="00CC47CF"/>
    <w:rsid w:val="00CC75E8"/>
    <w:rsid w:val="00CD167A"/>
    <w:rsid w:val="00CE1093"/>
    <w:rsid w:val="00CF288B"/>
    <w:rsid w:val="00CF6C13"/>
    <w:rsid w:val="00D16715"/>
    <w:rsid w:val="00D20F48"/>
    <w:rsid w:val="00D215B1"/>
    <w:rsid w:val="00D228EB"/>
    <w:rsid w:val="00D27FAF"/>
    <w:rsid w:val="00D316F5"/>
    <w:rsid w:val="00D33A75"/>
    <w:rsid w:val="00D33ADA"/>
    <w:rsid w:val="00D43CBB"/>
    <w:rsid w:val="00D4481D"/>
    <w:rsid w:val="00D54F76"/>
    <w:rsid w:val="00D55264"/>
    <w:rsid w:val="00D6156E"/>
    <w:rsid w:val="00D66D70"/>
    <w:rsid w:val="00D7035F"/>
    <w:rsid w:val="00D777F3"/>
    <w:rsid w:val="00D864AD"/>
    <w:rsid w:val="00D87890"/>
    <w:rsid w:val="00D955C4"/>
    <w:rsid w:val="00D96CCB"/>
    <w:rsid w:val="00DA1991"/>
    <w:rsid w:val="00DA37B0"/>
    <w:rsid w:val="00DA4089"/>
    <w:rsid w:val="00DA5712"/>
    <w:rsid w:val="00DB617B"/>
    <w:rsid w:val="00DC46C8"/>
    <w:rsid w:val="00DC7F5D"/>
    <w:rsid w:val="00DD3F46"/>
    <w:rsid w:val="00DE6FB2"/>
    <w:rsid w:val="00DF12F0"/>
    <w:rsid w:val="00DF7650"/>
    <w:rsid w:val="00E01DA3"/>
    <w:rsid w:val="00E17D93"/>
    <w:rsid w:val="00E30619"/>
    <w:rsid w:val="00E34ACE"/>
    <w:rsid w:val="00E43A97"/>
    <w:rsid w:val="00E43D46"/>
    <w:rsid w:val="00E44203"/>
    <w:rsid w:val="00E52DEA"/>
    <w:rsid w:val="00E55CB0"/>
    <w:rsid w:val="00E633A1"/>
    <w:rsid w:val="00E71EAF"/>
    <w:rsid w:val="00E866AD"/>
    <w:rsid w:val="00E92CD6"/>
    <w:rsid w:val="00E94932"/>
    <w:rsid w:val="00E975FA"/>
    <w:rsid w:val="00EB1566"/>
    <w:rsid w:val="00EB6078"/>
    <w:rsid w:val="00EB7BFD"/>
    <w:rsid w:val="00ED677D"/>
    <w:rsid w:val="00ED6DF0"/>
    <w:rsid w:val="00EE370F"/>
    <w:rsid w:val="00EE3717"/>
    <w:rsid w:val="00EE3A57"/>
    <w:rsid w:val="00EE771A"/>
    <w:rsid w:val="00EF1D62"/>
    <w:rsid w:val="00EF5EED"/>
    <w:rsid w:val="00F016CA"/>
    <w:rsid w:val="00F4389A"/>
    <w:rsid w:val="00F46D7C"/>
    <w:rsid w:val="00F47EEB"/>
    <w:rsid w:val="00F54541"/>
    <w:rsid w:val="00F60662"/>
    <w:rsid w:val="00F64E2D"/>
    <w:rsid w:val="00F657B7"/>
    <w:rsid w:val="00F80766"/>
    <w:rsid w:val="00F87449"/>
    <w:rsid w:val="00F87A11"/>
    <w:rsid w:val="00F904C0"/>
    <w:rsid w:val="00F93803"/>
    <w:rsid w:val="00F94167"/>
    <w:rsid w:val="00FB03E5"/>
    <w:rsid w:val="00FB6516"/>
    <w:rsid w:val="00FB6EC0"/>
    <w:rsid w:val="00FC114B"/>
    <w:rsid w:val="00FC395F"/>
    <w:rsid w:val="00FD100A"/>
    <w:rsid w:val="00FD1C78"/>
    <w:rsid w:val="00FD4E80"/>
    <w:rsid w:val="00FD6406"/>
    <w:rsid w:val="00FE7D0D"/>
    <w:rsid w:val="00FF2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AD858"/>
  <w15:chartTrackingRefBased/>
  <w15:docId w15:val="{2F74F296-AB5D-4CF1-9E0C-08095C55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left="720" w:firstLine="72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
    <w:basedOn w:val="prastasis"/>
    <w:link w:val="PaantratDiagrama"/>
    <w:qFormat/>
    <w:pPr>
      <w:jc w:val="center"/>
    </w:pPr>
    <w:rPr>
      <w:b/>
      <w:szCs w:val="20"/>
      <w:lang w:eastAsia="zh-CN"/>
    </w:rPr>
  </w:style>
  <w:style w:type="paragraph" w:styleId="Pavadinimas">
    <w:name w:val="Title"/>
    <w:basedOn w:val="prastasis"/>
    <w:qFormat/>
    <w:pPr>
      <w:jc w:val="center"/>
    </w:pPr>
    <w:rPr>
      <w:b/>
      <w:bCs/>
    </w:rPr>
  </w:style>
  <w:style w:type="paragraph" w:styleId="Pagrindiniotekstotrauka2">
    <w:name w:val="Body Text Indent 2"/>
    <w:basedOn w:val="prastasis"/>
    <w:semiHidden/>
    <w:pPr>
      <w:spacing w:after="120" w:line="480" w:lineRule="auto"/>
      <w:ind w:left="283"/>
    </w:pPr>
    <w:rPr>
      <w:sz w:val="20"/>
      <w:szCs w:val="20"/>
      <w:lang w:val="en-US" w:eastAsia="en-GB"/>
    </w:rPr>
  </w:style>
  <w:style w:type="paragraph" w:customStyle="1" w:styleId="Textbeitrauku">
    <w:name w:val="Text_be itrauku"/>
    <w:basedOn w:val="prastasis"/>
    <w:pPr>
      <w:jc w:val="both"/>
    </w:pPr>
    <w:rPr>
      <w:szCs w:val="22"/>
    </w:rPr>
  </w:style>
  <w:style w:type="paragraph" w:styleId="Pagrindiniotekstotrauka">
    <w:name w:val="Body Text Indent"/>
    <w:basedOn w:val="prastasis"/>
    <w:semiHidden/>
    <w:pPr>
      <w:ind w:firstLine="720"/>
      <w:jc w:val="both"/>
    </w:pPr>
  </w:style>
  <w:style w:type="character" w:styleId="Hipersaitas">
    <w:name w:val="Hyperlink"/>
    <w:semiHidden/>
    <w:rPr>
      <w:color w:val="0000FF"/>
      <w:u w:val="single"/>
    </w:rPr>
  </w:style>
  <w:style w:type="paragraph" w:customStyle="1" w:styleId="DiagramaDiagrama1CharCharCharCharDiagramaCharDiagramaChar">
    <w:name w:val="Diagrama Diagrama1 Char Char Char Char Diagrama Char Diagrama Char"/>
    <w:basedOn w:val="prastasis"/>
    <w:rsid w:val="0056679A"/>
    <w:pPr>
      <w:spacing w:after="160" w:line="240" w:lineRule="exact"/>
    </w:pPr>
    <w:rPr>
      <w:rFonts w:ascii="Tahoma" w:hAnsi="Tahoma"/>
      <w:sz w:val="20"/>
      <w:szCs w:val="20"/>
      <w:lang w:val="en-US"/>
    </w:rPr>
  </w:style>
  <w:style w:type="paragraph" w:styleId="Debesliotekstas">
    <w:name w:val="Balloon Text"/>
    <w:basedOn w:val="prastasis"/>
    <w:semiHidden/>
    <w:rsid w:val="00150886"/>
    <w:rPr>
      <w:rFonts w:ascii="Tahoma" w:hAnsi="Tahoma" w:cs="Tahoma"/>
      <w:sz w:val="16"/>
      <w:szCs w:val="16"/>
    </w:rPr>
  </w:style>
  <w:style w:type="character" w:styleId="Komentaronuoroda">
    <w:name w:val="annotation reference"/>
    <w:semiHidden/>
    <w:rsid w:val="00A8461E"/>
    <w:rPr>
      <w:sz w:val="16"/>
      <w:szCs w:val="16"/>
    </w:rPr>
  </w:style>
  <w:style w:type="paragraph" w:styleId="Komentarotekstas">
    <w:name w:val="annotation text"/>
    <w:basedOn w:val="prastasis"/>
    <w:semiHidden/>
    <w:rsid w:val="00A8461E"/>
    <w:rPr>
      <w:sz w:val="20"/>
      <w:szCs w:val="20"/>
    </w:rPr>
  </w:style>
  <w:style w:type="paragraph" w:styleId="Komentarotema">
    <w:name w:val="annotation subject"/>
    <w:basedOn w:val="Komentarotekstas"/>
    <w:next w:val="Komentarotekstas"/>
    <w:semiHidden/>
    <w:rsid w:val="00A8461E"/>
    <w:rPr>
      <w:b/>
      <w:bCs/>
    </w:rPr>
  </w:style>
  <w:style w:type="paragraph" w:customStyle="1" w:styleId="DiagramaDiagrama1CharCharChar">
    <w:name w:val="Diagrama Diagrama1 Char Char Char"/>
    <w:basedOn w:val="prastasis"/>
    <w:rsid w:val="008F71E6"/>
    <w:pPr>
      <w:spacing w:after="160" w:line="240" w:lineRule="exact"/>
    </w:pPr>
    <w:rPr>
      <w:rFonts w:ascii="Tahoma" w:hAnsi="Tahoma"/>
      <w:sz w:val="20"/>
      <w:szCs w:val="20"/>
      <w:lang w:val="en-US"/>
    </w:rPr>
  </w:style>
  <w:style w:type="character" w:customStyle="1" w:styleId="PaantratDiagrama">
    <w:name w:val="Paantraštė Diagrama"/>
    <w:aliases w:val=" Char Diagrama"/>
    <w:link w:val="Paantrat"/>
    <w:rsid w:val="005F4BD9"/>
    <w:rPr>
      <w:b/>
      <w:sz w:val="24"/>
      <w:lang w:eastAsia="zh-CN"/>
    </w:rPr>
  </w:style>
  <w:style w:type="paragraph" w:styleId="prastasiniatinklio">
    <w:name w:val="Normal (Web)"/>
    <w:basedOn w:val="prastasis"/>
    <w:uiPriority w:val="99"/>
    <w:unhideWhenUsed/>
    <w:rsid w:val="00E633A1"/>
    <w:pPr>
      <w:spacing w:before="100" w:beforeAutospacing="1" w:after="100" w:afterAutospacing="1"/>
    </w:pPr>
    <w:rPr>
      <w:rFonts w:eastAsia="Calibri"/>
      <w:lang w:eastAsia="lt-LT"/>
    </w:rPr>
  </w:style>
  <w:style w:type="table" w:styleId="Lentelstinklelis">
    <w:name w:val="Table Grid"/>
    <w:basedOn w:val="prastojilentel"/>
    <w:rsid w:val="00FB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08E4"/>
    <w:pPr>
      <w:ind w:left="720"/>
    </w:pPr>
    <w:rPr>
      <w:rFonts w:ascii="Calibri" w:eastAsia="Calibri" w:hAnsi="Calibri"/>
      <w:sz w:val="22"/>
      <w:szCs w:val="22"/>
    </w:rPr>
  </w:style>
  <w:style w:type="paragraph" w:styleId="Antrats">
    <w:name w:val="header"/>
    <w:basedOn w:val="prastasis"/>
    <w:link w:val="AntratsDiagrama"/>
    <w:rsid w:val="008208A7"/>
    <w:pPr>
      <w:tabs>
        <w:tab w:val="center" w:pos="4819"/>
        <w:tab w:val="right" w:pos="9638"/>
      </w:tabs>
    </w:pPr>
  </w:style>
  <w:style w:type="character" w:customStyle="1" w:styleId="AntratsDiagrama">
    <w:name w:val="Antraštės Diagrama"/>
    <w:link w:val="Antrats"/>
    <w:rsid w:val="008208A7"/>
    <w:rPr>
      <w:sz w:val="24"/>
      <w:szCs w:val="24"/>
      <w:lang w:eastAsia="en-US"/>
    </w:rPr>
  </w:style>
  <w:style w:type="paragraph" w:styleId="Porat">
    <w:name w:val="footer"/>
    <w:basedOn w:val="prastasis"/>
    <w:link w:val="PoratDiagrama"/>
    <w:rsid w:val="008208A7"/>
    <w:pPr>
      <w:tabs>
        <w:tab w:val="center" w:pos="4819"/>
        <w:tab w:val="right" w:pos="9638"/>
      </w:tabs>
    </w:pPr>
  </w:style>
  <w:style w:type="character" w:customStyle="1" w:styleId="PoratDiagrama">
    <w:name w:val="Poraštė Diagrama"/>
    <w:link w:val="Porat"/>
    <w:rsid w:val="008208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12241">
      <w:bodyDiv w:val="1"/>
      <w:marLeft w:val="0"/>
      <w:marRight w:val="0"/>
      <w:marTop w:val="0"/>
      <w:marBottom w:val="0"/>
      <w:divBdr>
        <w:top w:val="none" w:sz="0" w:space="0" w:color="auto"/>
        <w:left w:val="none" w:sz="0" w:space="0" w:color="auto"/>
        <w:bottom w:val="none" w:sz="0" w:space="0" w:color="auto"/>
        <w:right w:val="none" w:sz="0" w:space="0" w:color="auto"/>
      </w:divBdr>
    </w:div>
    <w:div w:id="674260181">
      <w:bodyDiv w:val="1"/>
      <w:marLeft w:val="0"/>
      <w:marRight w:val="0"/>
      <w:marTop w:val="0"/>
      <w:marBottom w:val="0"/>
      <w:divBdr>
        <w:top w:val="none" w:sz="0" w:space="0" w:color="auto"/>
        <w:left w:val="none" w:sz="0" w:space="0" w:color="auto"/>
        <w:bottom w:val="none" w:sz="0" w:space="0" w:color="auto"/>
        <w:right w:val="none" w:sz="0" w:space="0" w:color="auto"/>
      </w:divBdr>
    </w:div>
    <w:div w:id="775559348">
      <w:bodyDiv w:val="1"/>
      <w:marLeft w:val="0"/>
      <w:marRight w:val="0"/>
      <w:marTop w:val="0"/>
      <w:marBottom w:val="0"/>
      <w:divBdr>
        <w:top w:val="none" w:sz="0" w:space="0" w:color="auto"/>
        <w:left w:val="none" w:sz="0" w:space="0" w:color="auto"/>
        <w:bottom w:val="none" w:sz="0" w:space="0" w:color="auto"/>
        <w:right w:val="none" w:sz="0" w:space="0" w:color="auto"/>
      </w:divBdr>
    </w:div>
    <w:div w:id="948581766">
      <w:bodyDiv w:val="1"/>
      <w:marLeft w:val="0"/>
      <w:marRight w:val="0"/>
      <w:marTop w:val="0"/>
      <w:marBottom w:val="0"/>
      <w:divBdr>
        <w:top w:val="none" w:sz="0" w:space="0" w:color="auto"/>
        <w:left w:val="none" w:sz="0" w:space="0" w:color="auto"/>
        <w:bottom w:val="none" w:sz="0" w:space="0" w:color="auto"/>
        <w:right w:val="none" w:sz="0" w:space="0" w:color="auto"/>
      </w:divBdr>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
    <w:div w:id="1146357882">
      <w:bodyDiv w:val="1"/>
      <w:marLeft w:val="0"/>
      <w:marRight w:val="0"/>
      <w:marTop w:val="0"/>
      <w:marBottom w:val="0"/>
      <w:divBdr>
        <w:top w:val="none" w:sz="0" w:space="0" w:color="auto"/>
        <w:left w:val="none" w:sz="0" w:space="0" w:color="auto"/>
        <w:bottom w:val="none" w:sz="0" w:space="0" w:color="auto"/>
        <w:right w:val="none" w:sz="0" w:space="0" w:color="auto"/>
      </w:divBdr>
    </w:div>
    <w:div w:id="1274629668">
      <w:bodyDiv w:val="1"/>
      <w:marLeft w:val="0"/>
      <w:marRight w:val="0"/>
      <w:marTop w:val="0"/>
      <w:marBottom w:val="0"/>
      <w:divBdr>
        <w:top w:val="none" w:sz="0" w:space="0" w:color="auto"/>
        <w:left w:val="none" w:sz="0" w:space="0" w:color="auto"/>
        <w:bottom w:val="none" w:sz="0" w:space="0" w:color="auto"/>
        <w:right w:val="none" w:sz="0" w:space="0" w:color="auto"/>
      </w:divBdr>
    </w:div>
    <w:div w:id="1761682905">
      <w:bodyDiv w:val="1"/>
      <w:marLeft w:val="0"/>
      <w:marRight w:val="0"/>
      <w:marTop w:val="0"/>
      <w:marBottom w:val="0"/>
      <w:divBdr>
        <w:top w:val="none" w:sz="0" w:space="0" w:color="auto"/>
        <w:left w:val="none" w:sz="0" w:space="0" w:color="auto"/>
        <w:bottom w:val="none" w:sz="0" w:space="0" w:color="auto"/>
        <w:right w:val="none" w:sz="0" w:space="0" w:color="auto"/>
      </w:divBdr>
      <w:divsChild>
        <w:div w:id="586039012">
          <w:marLeft w:val="547"/>
          <w:marRight w:val="0"/>
          <w:marTop w:val="125"/>
          <w:marBottom w:val="0"/>
          <w:divBdr>
            <w:top w:val="none" w:sz="0" w:space="0" w:color="auto"/>
            <w:left w:val="none" w:sz="0" w:space="0" w:color="auto"/>
            <w:bottom w:val="none" w:sz="0" w:space="0" w:color="auto"/>
            <w:right w:val="none" w:sz="0" w:space="0" w:color="auto"/>
          </w:divBdr>
        </w:div>
        <w:div w:id="1087457963">
          <w:marLeft w:val="547"/>
          <w:marRight w:val="0"/>
          <w:marTop w:val="125"/>
          <w:marBottom w:val="0"/>
          <w:divBdr>
            <w:top w:val="none" w:sz="0" w:space="0" w:color="auto"/>
            <w:left w:val="none" w:sz="0" w:space="0" w:color="auto"/>
            <w:bottom w:val="none" w:sz="0" w:space="0" w:color="auto"/>
            <w:right w:val="none" w:sz="0" w:space="0" w:color="auto"/>
          </w:divBdr>
        </w:div>
        <w:div w:id="1304115228">
          <w:marLeft w:val="547"/>
          <w:marRight w:val="0"/>
          <w:marTop w:val="125"/>
          <w:marBottom w:val="0"/>
          <w:divBdr>
            <w:top w:val="none" w:sz="0" w:space="0" w:color="auto"/>
            <w:left w:val="none" w:sz="0" w:space="0" w:color="auto"/>
            <w:bottom w:val="none" w:sz="0" w:space="0" w:color="auto"/>
            <w:right w:val="none" w:sz="0" w:space="0" w:color="auto"/>
          </w:divBdr>
        </w:div>
        <w:div w:id="1646277905">
          <w:marLeft w:val="547"/>
          <w:marRight w:val="0"/>
          <w:marTop w:val="125"/>
          <w:marBottom w:val="0"/>
          <w:divBdr>
            <w:top w:val="none" w:sz="0" w:space="0" w:color="auto"/>
            <w:left w:val="none" w:sz="0" w:space="0" w:color="auto"/>
            <w:bottom w:val="none" w:sz="0" w:space="0" w:color="auto"/>
            <w:right w:val="none" w:sz="0" w:space="0" w:color="auto"/>
          </w:divBdr>
        </w:div>
        <w:div w:id="1771856485">
          <w:marLeft w:val="547"/>
          <w:marRight w:val="0"/>
          <w:marTop w:val="125"/>
          <w:marBottom w:val="0"/>
          <w:divBdr>
            <w:top w:val="none" w:sz="0" w:space="0" w:color="auto"/>
            <w:left w:val="none" w:sz="0" w:space="0" w:color="auto"/>
            <w:bottom w:val="none" w:sz="0" w:space="0" w:color="auto"/>
            <w:right w:val="none" w:sz="0" w:space="0" w:color="auto"/>
          </w:divBdr>
        </w:div>
      </w:divsChild>
    </w:div>
    <w:div w:id="1967158359">
      <w:bodyDiv w:val="1"/>
      <w:marLeft w:val="0"/>
      <w:marRight w:val="0"/>
      <w:marTop w:val="0"/>
      <w:marBottom w:val="0"/>
      <w:divBdr>
        <w:top w:val="none" w:sz="0" w:space="0" w:color="auto"/>
        <w:left w:val="none" w:sz="0" w:space="0" w:color="auto"/>
        <w:bottom w:val="none" w:sz="0" w:space="0" w:color="auto"/>
        <w:right w:val="none" w:sz="0" w:space="0" w:color="auto"/>
      </w:divBdr>
    </w:div>
    <w:div w:id="19973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3</Pages>
  <Words>907</Words>
  <Characters>5173</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rajono savivaldybes administracija</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KRS-315-1</dc:creator>
  <cp:keywords/>
  <cp:lastModifiedBy>Vartotoja</cp:lastModifiedBy>
  <cp:revision>24</cp:revision>
  <cp:lastPrinted>2022-09-19T12:57:00Z</cp:lastPrinted>
  <dcterms:created xsi:type="dcterms:W3CDTF">2022-09-16T06:42:00Z</dcterms:created>
  <dcterms:modified xsi:type="dcterms:W3CDTF">2023-09-21T05:02:00Z</dcterms:modified>
</cp:coreProperties>
</file>