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F45FB2" w:rsidRDefault="00F45FB2" w:rsidP="00F45FB2">
      <w:pPr>
        <w:jc w:val="center"/>
        <w:rPr>
          <w:b/>
          <w:szCs w:val="24"/>
        </w:rPr>
      </w:pPr>
      <w:r w:rsidRPr="00091847">
        <w:rPr>
          <w:b/>
          <w:szCs w:val="24"/>
        </w:rPr>
        <w:t>TEISĖS AKTŲ PROJEKTŲ ANTIKORUPCINIO VERTINIMO PAŽYMA</w:t>
      </w:r>
    </w:p>
    <w:p w:rsidR="00AD30EF" w:rsidRDefault="00AD30EF" w:rsidP="00F45FB2">
      <w:pPr>
        <w:jc w:val="center"/>
        <w:rPr>
          <w:b/>
          <w:szCs w:val="24"/>
        </w:rPr>
      </w:pPr>
    </w:p>
    <w:p w:rsidR="00BA2D41" w:rsidRPr="00BA2D41" w:rsidRDefault="00F45FB2" w:rsidP="00BA2D41">
      <w:pPr>
        <w:jc w:val="both"/>
        <w:rPr>
          <w:szCs w:val="24"/>
        </w:rPr>
      </w:pPr>
      <w:r w:rsidRPr="000E4C63">
        <w:rPr>
          <w:bCs/>
          <w:szCs w:val="24"/>
        </w:rPr>
        <w:t xml:space="preserve"> Teisės akto projekto pavadinimas</w:t>
      </w:r>
      <w:r w:rsidR="006D367F" w:rsidRPr="000E4C63">
        <w:rPr>
          <w:bCs/>
          <w:szCs w:val="24"/>
        </w:rPr>
        <w:t xml:space="preserve">: </w:t>
      </w:r>
      <w:r w:rsidR="007A793F" w:rsidRPr="000E4C63">
        <w:rPr>
          <w:bCs/>
          <w:szCs w:val="24"/>
        </w:rPr>
        <w:t xml:space="preserve"> Kėdainių rajono savivaldybės tarybos sprendimas</w:t>
      </w:r>
      <w:r w:rsidR="000E4C63" w:rsidRPr="000E4C63">
        <w:rPr>
          <w:bCs/>
          <w:szCs w:val="24"/>
        </w:rPr>
        <w:t xml:space="preserve"> </w:t>
      </w:r>
      <w:r w:rsidR="00BA2D41" w:rsidRPr="00BA2D41">
        <w:rPr>
          <w:caps/>
          <w:szCs w:val="24"/>
        </w:rPr>
        <w:t>DĖL KĖDAINIŲ RAJONO SAVIVALDYBĖS individualiŲ nuotekų valymo įrenginiŲ ĮSIGIJIMO DALINIO finansavimo TVARKOS aprašO PATVIRTINIMO</w:t>
      </w:r>
    </w:p>
    <w:p w:rsidR="000E4C63" w:rsidRPr="00BA2D41" w:rsidRDefault="000E4C63" w:rsidP="00BA2D41">
      <w:pPr>
        <w:jc w:val="both"/>
        <w:rPr>
          <w:rFonts w:eastAsia="Lucida Sans Unicode"/>
          <w:caps/>
        </w:rPr>
      </w:pPr>
    </w:p>
    <w:p w:rsidR="006C0818" w:rsidRPr="00091847" w:rsidRDefault="00F45FB2" w:rsidP="00F45FB2">
      <w:pPr>
        <w:spacing w:line="360" w:lineRule="atLeast"/>
        <w:jc w:val="both"/>
        <w:rPr>
          <w:szCs w:val="24"/>
        </w:rPr>
      </w:pPr>
      <w:r w:rsidRPr="00091847">
        <w:rPr>
          <w:szCs w:val="24"/>
        </w:rPr>
        <w:t>Teisės akto projekto tiesioginis rengėjas:</w:t>
      </w:r>
      <w:r w:rsidR="000C4C9F">
        <w:rPr>
          <w:szCs w:val="24"/>
        </w:rPr>
        <w:t xml:space="preserve"> Žemės ūkio ir a</w:t>
      </w:r>
      <w:r w:rsidR="00AD30EF">
        <w:rPr>
          <w:szCs w:val="24"/>
        </w:rPr>
        <w:t>plinkosau</w:t>
      </w:r>
      <w:r w:rsidR="00CD1CF8">
        <w:rPr>
          <w:szCs w:val="24"/>
        </w:rPr>
        <w:t>gos skyriaus v</w:t>
      </w:r>
      <w:r w:rsidR="000E4C63">
        <w:rPr>
          <w:szCs w:val="24"/>
        </w:rPr>
        <w:t>edėja Ieva Matyžiūtė.</w:t>
      </w:r>
    </w:p>
    <w:p w:rsidR="00F45FB2" w:rsidRPr="00091847" w:rsidRDefault="00F45FB2" w:rsidP="00F45FB2">
      <w:pPr>
        <w:spacing w:line="360" w:lineRule="atLeast"/>
        <w:jc w:val="both"/>
        <w:rPr>
          <w:szCs w:val="24"/>
        </w:rPr>
      </w:pPr>
      <w:r w:rsidRPr="00091847">
        <w:rPr>
          <w:szCs w:val="24"/>
        </w:rPr>
        <w:t>Antikorupciniu požiūriu rizikingos teisės akto projekto nuostatos</w:t>
      </w:r>
      <w:r w:rsidRPr="00091847">
        <w:rPr>
          <w:b/>
          <w:szCs w:val="24"/>
        </w:rPr>
        <w:t xml:space="preserve"> </w:t>
      </w:r>
      <w:r w:rsidRPr="00091847">
        <w:rPr>
          <w:i/>
          <w:szCs w:val="24"/>
        </w:rPr>
        <w:t>(nurodyti kriterijaus numerį, kurį taikant nustatytai korupcijos rizikai šalinti ar valdyti teisės akto projekte nenumatyta priemonių)</w:t>
      </w:r>
      <w:r w:rsidRPr="00091847">
        <w:rPr>
          <w:rStyle w:val="Puslapioinaosnuoroda"/>
          <w:szCs w:val="24"/>
        </w:rPr>
        <w:footnoteReference w:id="1"/>
      </w:r>
      <w:r w:rsidRPr="00091847">
        <w:rPr>
          <w:szCs w:val="24"/>
        </w:rPr>
        <w:t xml:space="preserve">: </w:t>
      </w:r>
    </w:p>
    <w:p w:rsidR="00F45FB2" w:rsidRPr="00091847" w:rsidRDefault="00F45FB2" w:rsidP="00F45FB2">
      <w:pPr>
        <w:spacing w:line="360" w:lineRule="atLeast"/>
        <w:jc w:val="both"/>
        <w:rPr>
          <w:szCs w:val="24"/>
        </w:rPr>
      </w:pPr>
      <w:r w:rsidRPr="00091847">
        <w:rPr>
          <w:szCs w:val="24"/>
        </w:rPr>
        <w:t>Antikorupciniu požiūriu rizikingos teisės akto projekto nuostatos, nustatytos atliekant antikorupcinį vertinimą po tarpinstitucinio derinimo</w:t>
      </w:r>
      <w:r w:rsidRPr="00091847">
        <w:rPr>
          <w:b/>
          <w:szCs w:val="24"/>
        </w:rPr>
        <w:t xml:space="preserve"> </w:t>
      </w:r>
      <w:r w:rsidRPr="00091847">
        <w:rPr>
          <w:i/>
          <w:szCs w:val="24"/>
        </w:rPr>
        <w:t>(nurodyti kriterijaus numerį, kurį taikant nustatytai korupcijos rizikai šalinti ar valdyti teisės akto projekte nenumatyta priemonių)</w:t>
      </w:r>
      <w:r w:rsidRPr="00091847">
        <w:rPr>
          <w:rStyle w:val="Puslapioinaosnuoroda"/>
          <w:szCs w:val="24"/>
        </w:rPr>
        <w:footnoteReference w:id="2"/>
      </w:r>
      <w:r w:rsidRPr="00091847">
        <w:rPr>
          <w:szCs w:val="24"/>
        </w:rPr>
        <w:t>:</w:t>
      </w:r>
    </w:p>
    <w:p w:rsidR="00F45FB2" w:rsidRPr="00091847" w:rsidRDefault="00F45FB2" w:rsidP="00F45FB2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42"/>
        <w:gridCol w:w="1640"/>
        <w:gridCol w:w="3095"/>
        <w:gridCol w:w="841"/>
        <w:gridCol w:w="1576"/>
        <w:gridCol w:w="2223"/>
        <w:gridCol w:w="2685"/>
      </w:tblGrid>
      <w:tr w:rsidR="00F45FB2" w:rsidRPr="00091847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Eil. 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b/>
                <w:szCs w:val="24"/>
              </w:rPr>
            </w:pPr>
            <w:r w:rsidRPr="00091847">
              <w:rPr>
                <w:szCs w:val="24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Išvada dėl teisės akto projekto pakeitimų arba argumentų, kodėl neatsižvelgta į pastabą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i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i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i/>
                <w:szCs w:val="24"/>
              </w:rPr>
            </w:pPr>
            <w:r w:rsidRPr="00091847">
              <w:rPr>
                <w:i/>
                <w:szCs w:val="24"/>
              </w:rPr>
              <w:t>pildo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i/>
                <w:szCs w:val="24"/>
              </w:rPr>
            </w:pPr>
            <w:r w:rsidRPr="00091847">
              <w:rPr>
                <w:i/>
                <w:szCs w:val="24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i/>
                <w:szCs w:val="24"/>
              </w:rPr>
            </w:pPr>
            <w:r w:rsidRPr="00091847">
              <w:rPr>
                <w:i/>
                <w:szCs w:val="24"/>
              </w:rPr>
              <w:t>pildo teisės akto projekto vertintojas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0E4C63" w:rsidP="00AD30EF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b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7142E6" w:rsidP="007355F9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F45FB2"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keepNext/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lastRenderedPageBreak/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683CB4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0E4C63" w:rsidP="00AD30EF">
            <w:pPr>
              <w:keepNext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683CB4">
            <w:pPr>
              <w:keepNext/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7142E6" w:rsidP="00683CB4">
            <w:pPr>
              <w:keepNext/>
              <w:rPr>
                <w:szCs w:val="24"/>
              </w:rPr>
            </w:pPr>
            <w:r>
              <w:rPr>
                <w:szCs w:val="24"/>
              </w:rPr>
              <w:t>x</w:t>
            </w:r>
            <w:r w:rsidR="00F45FB2" w:rsidRPr="00091847">
              <w:rPr>
                <w:szCs w:val="24"/>
              </w:rPr>
              <w:t>□ tenkina</w:t>
            </w:r>
          </w:p>
          <w:p w:rsidR="00F45FB2" w:rsidRPr="00091847" w:rsidRDefault="00F45FB2" w:rsidP="00683CB4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1213F8" w:rsidRDefault="000E4C63" w:rsidP="008E3E72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Atitinka</w:t>
            </w:r>
            <w:r w:rsidR="00BA2D41">
              <w:rPr>
                <w:szCs w:val="24"/>
              </w:rPr>
              <w:t>. Prašymus vertina administracijos direktoriaus sudaryta Komisija, dalinis finansavimas skiriamas administracijos direktoriaus įsakymu (</w:t>
            </w:r>
            <w:r w:rsidR="00B65F68">
              <w:rPr>
                <w:szCs w:val="24"/>
              </w:rPr>
              <w:t>A</w:t>
            </w:r>
            <w:r w:rsidR="00BA2D41">
              <w:rPr>
                <w:szCs w:val="24"/>
              </w:rPr>
              <w:t>prašo 13 p.)</w:t>
            </w:r>
            <w:r w:rsidR="00B65F68">
              <w:rPr>
                <w:szCs w:val="24"/>
              </w:rPr>
              <w:t>, kontrolę vykdo Kontrolės ir audito tarnyba.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7142E6" w:rsidP="007355F9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F45FB2"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0E4C63" w:rsidP="0031499B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7142E6" w:rsidP="007355F9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F45FB2"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724E9D" w:rsidRDefault="00CC67E2" w:rsidP="00CC67E2">
            <w:pPr>
              <w:jc w:val="both"/>
              <w:rPr>
                <w:color w:val="000000"/>
                <w:szCs w:val="24"/>
              </w:rPr>
            </w:pPr>
            <w:r w:rsidRPr="00724E9D">
              <w:rPr>
                <w:color w:val="000000"/>
                <w:szCs w:val="24"/>
              </w:rPr>
              <w:t>Atitinka. (Aprašo 7 p.)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CC67E2" w:rsidP="00CC67E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CC67E2" w:rsidP="00CC67E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Atitinka. (Aprašo 12 p., 13 p.) 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CC67E2" w:rsidP="00CC67E2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b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Jeigu pagal numatomą reguliavimą sprendimus priima kolegialus subjektas, teisės akto projekte nustatyta kolegialaus sprendimus priimančio subjekto:</w:t>
            </w:r>
          </w:p>
          <w:p w:rsidR="00CC67E2" w:rsidRPr="00091847" w:rsidRDefault="00CC67E2" w:rsidP="00CC67E2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091847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:rsidR="00CC67E2" w:rsidRPr="00091847" w:rsidRDefault="00CC67E2" w:rsidP="00CC67E2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091847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9.3</w:t>
            </w:r>
            <w:r w:rsidRPr="00091847">
              <w:rPr>
                <w:spacing w:val="-4"/>
                <w:szCs w:val="24"/>
              </w:rPr>
              <w:t>. narių skyrimo mechanizmas;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9.4. narių rotacija ir kadencijų skaičius ir trukmė;</w:t>
            </w:r>
          </w:p>
          <w:p w:rsidR="00CC67E2" w:rsidRPr="00091847" w:rsidRDefault="00CC67E2" w:rsidP="00CC67E2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091847">
              <w:rPr>
                <w:sz w:val="24"/>
                <w:szCs w:val="24"/>
              </w:rPr>
              <w:t>9.5. veiklos pobūdis laiko atžvilgiu;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9.6. individuali narių atsakomybė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B93004" w:rsidP="00CC67E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Aprašo 9 p. Komisiją sudaro ir jos nuostatus tvirtina administracijos direktorius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 xml:space="preserve">Teisės akto projekto nuostatoms įgyvendinti numatytos administracinės procedūros yra </w:t>
            </w:r>
            <w:r w:rsidRPr="00091847">
              <w:rPr>
                <w:szCs w:val="24"/>
                <w:shd w:val="clear" w:color="auto" w:fill="FFFFFF"/>
              </w:rPr>
              <w:t>būtinos,</w:t>
            </w:r>
            <w:r w:rsidRPr="00091847">
              <w:rPr>
                <w:szCs w:val="24"/>
              </w:rPr>
              <w:t xml:space="preserve"> nustatyta išsami jų taikymo tvarka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D674CA" w:rsidRDefault="00CC67E2" w:rsidP="00CC67E2">
            <w:pPr>
              <w:jc w:val="both"/>
              <w:rPr>
                <w:szCs w:val="24"/>
              </w:rPr>
            </w:pPr>
            <w:r w:rsidRPr="00D674CA">
              <w:rPr>
                <w:szCs w:val="24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keepNext/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CC67E2" w:rsidP="00CC67E2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keepNext/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keepNext/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CC67E2" w:rsidP="00CC67E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Atitinka. (Aprašo 5p.,  6 p., 9 p., 15 p., 18 p.)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CC67E2" w:rsidP="00CC67E2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projektas nustato administracinių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1C73A0" w:rsidP="008E3E72">
            <w:pPr>
              <w:jc w:val="both"/>
              <w:rPr>
                <w:b/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  <w:r>
              <w:rPr>
                <w:color w:val="000000"/>
                <w:szCs w:val="24"/>
              </w:rPr>
              <w:t>. Teisės akto projekte viešinimo tvarka nenumatyta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B93004" w:rsidP="00CC67E2">
            <w:pPr>
              <w:rPr>
                <w:b/>
                <w:szCs w:val="24"/>
              </w:rPr>
            </w:pPr>
            <w:r>
              <w:t xml:space="preserve">Savivaldybės interneto svetainėje </w:t>
            </w:r>
            <w:hyperlink r:id="rId6" w:history="1">
              <w:r w:rsidRPr="00B20356">
                <w:rPr>
                  <w:rStyle w:val="Hipersaitas"/>
                  <w:color w:val="auto"/>
                  <w:u w:val="none"/>
                </w:rPr>
                <w:t>www.kedainiai.lt</w:t>
              </w:r>
            </w:hyperlink>
            <w:r w:rsidRPr="00B20356">
              <w:t>, Savivaldybės socialinių tinklų</w:t>
            </w:r>
            <w:r>
              <w:t xml:space="preserve"> paskyrose ir žiniasklaidos priemonėse, su kuriomis Savivaldybės administracija yra sudariusi paslaugų atlikimo sutartis, Savivaldybės administracijos publikuojamuose skelbimuose</w:t>
            </w: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CC67E2" w:rsidP="00CC67E2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</w:t>
            </w:r>
            <w:r w:rsidR="008E3E72">
              <w:rPr>
                <w:color w:val="000000"/>
                <w:szCs w:val="24"/>
              </w:rPr>
              <w:t>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nustatytos kontrolės (priežiūros) skaidrumo ir objektyvumo užtikrinimo priemonės</w:t>
            </w:r>
            <w:r w:rsidRPr="00091847">
              <w:rPr>
                <w:rStyle w:val="Puslapioinaosnuoroda"/>
                <w:szCs w:val="24"/>
              </w:rPr>
              <w:footnoteReference w:id="3"/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CC67E2" w:rsidP="00CC67E2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 xml:space="preserve">Sprendimo </w:t>
            </w:r>
            <w:r>
              <w:rPr>
                <w:color w:val="000000"/>
                <w:szCs w:val="24"/>
              </w:rPr>
              <w:t>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keepNext/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0D6068" w:rsidP="00CC67E2">
            <w:pPr>
              <w:keepNext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Pareiškėjo atsakomybė (Aprašo 8p., 20 p.)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keepNext/>
              <w:rPr>
                <w:b/>
                <w:color w:val="0070C0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keepNext/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CC67E2" w:rsidP="00CC67E2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7142E6" w:rsidP="00CC67E2">
            <w:pPr>
              <w:rPr>
                <w:szCs w:val="24"/>
              </w:rPr>
            </w:pPr>
            <w:r>
              <w:rPr>
                <w:szCs w:val="24"/>
              </w:rPr>
              <w:t>x</w:t>
            </w:r>
            <w:r w:rsidR="00CC67E2"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CC67E2" w:rsidRPr="00091847" w:rsidRDefault="00CC67E2" w:rsidP="00CC67E2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CC67E2" w:rsidRPr="002B074D" w:rsidRDefault="00CC67E2" w:rsidP="00CC67E2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Nėra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CC67E2" w:rsidRPr="00091847" w:rsidTr="0068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  <w:p w:rsidR="00CC67E2" w:rsidRPr="00091847" w:rsidRDefault="00CC67E2" w:rsidP="00CC67E2">
            <w:pPr>
              <w:rPr>
                <w:szCs w:val="24"/>
              </w:rPr>
            </w:pP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projekto tiesioginis 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Pr="00091847" w:rsidRDefault="00CC67E2" w:rsidP="008E3E72">
            <w:pPr>
              <w:rPr>
                <w:szCs w:val="24"/>
              </w:rPr>
            </w:pPr>
            <w:r>
              <w:rPr>
                <w:szCs w:val="24"/>
              </w:rPr>
              <w:t>Žemės ūkio ir aplinkosaug</w:t>
            </w:r>
            <w:r w:rsidR="008E3E72">
              <w:rPr>
                <w:szCs w:val="24"/>
              </w:rPr>
              <w:t xml:space="preserve">os </w:t>
            </w:r>
            <w:r>
              <w:rPr>
                <w:szCs w:val="24"/>
              </w:rPr>
              <w:t xml:space="preserve">skyriaus vedėja </w:t>
            </w:r>
            <w:r w:rsidR="008E3E72">
              <w:rPr>
                <w:szCs w:val="24"/>
              </w:rPr>
              <w:t xml:space="preserve">Ieva </w:t>
            </w:r>
            <w:r>
              <w:rPr>
                <w:szCs w:val="24"/>
              </w:rPr>
              <w:t>Matyžiūtė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  <w:p w:rsidR="00CC67E2" w:rsidRPr="00091847" w:rsidRDefault="00CC67E2" w:rsidP="00CC67E2">
            <w:pPr>
              <w:rPr>
                <w:szCs w:val="24"/>
              </w:rPr>
            </w:pPr>
          </w:p>
          <w:p w:rsidR="00CC67E2" w:rsidRPr="00091847" w:rsidRDefault="00CC67E2" w:rsidP="00CC67E2">
            <w:pPr>
              <w:rPr>
                <w:szCs w:val="24"/>
              </w:rPr>
            </w:pPr>
            <w:r w:rsidRPr="00091847">
              <w:rPr>
                <w:szCs w:val="24"/>
              </w:rPr>
              <w:t>Tei</w:t>
            </w:r>
            <w:r w:rsidR="008E3E72">
              <w:rPr>
                <w:szCs w:val="24"/>
              </w:rPr>
              <w:t xml:space="preserve">sės akto              projekto </w:t>
            </w:r>
            <w:r w:rsidRPr="00091847">
              <w:rPr>
                <w:szCs w:val="24"/>
              </w:rPr>
              <w:t>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Default="00CC67E2" w:rsidP="00CC67E2">
            <w:pPr>
              <w:rPr>
                <w:szCs w:val="24"/>
              </w:rPr>
            </w:pPr>
          </w:p>
          <w:p w:rsidR="00CC67E2" w:rsidRPr="00091847" w:rsidRDefault="00CC67E2" w:rsidP="00CC67E2">
            <w:pPr>
              <w:rPr>
                <w:szCs w:val="24"/>
              </w:rPr>
            </w:pPr>
            <w:r>
              <w:rPr>
                <w:szCs w:val="24"/>
              </w:rPr>
              <w:t>Vyr. specialistė                      Janina Ladygienė</w:t>
            </w:r>
          </w:p>
        </w:tc>
      </w:tr>
      <w:tr w:rsidR="00CC67E2" w:rsidRPr="00091847" w:rsidTr="0068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67E2" w:rsidRPr="00091847" w:rsidRDefault="00CC67E2" w:rsidP="00CC67E2">
            <w:pPr>
              <w:ind w:left="-11" w:firstLine="11"/>
              <w:rPr>
                <w:szCs w:val="24"/>
              </w:rPr>
            </w:pPr>
            <w:r w:rsidRPr="00091847">
              <w:rPr>
                <w:szCs w:val="24"/>
              </w:rPr>
              <w:t>(pareigos)                         (vardas ir pavardė)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CC67E2" w:rsidRPr="00091847" w:rsidRDefault="00CC67E2" w:rsidP="00CC67E2">
            <w:pPr>
              <w:rPr>
                <w:szCs w:val="24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C67E2" w:rsidRPr="00091847" w:rsidRDefault="00CC67E2" w:rsidP="00CC67E2">
            <w:pPr>
              <w:ind w:left="-11" w:firstLine="11"/>
              <w:rPr>
                <w:szCs w:val="24"/>
              </w:rPr>
            </w:pPr>
            <w:r w:rsidRPr="00091847">
              <w:rPr>
                <w:szCs w:val="24"/>
              </w:rPr>
              <w:t xml:space="preserve">(pareigos)     </w:t>
            </w:r>
            <w:r>
              <w:rPr>
                <w:szCs w:val="24"/>
              </w:rPr>
              <w:t xml:space="preserve">                        </w:t>
            </w:r>
            <w:r w:rsidRPr="00091847">
              <w:rPr>
                <w:szCs w:val="24"/>
              </w:rPr>
              <w:t xml:space="preserve"> (vardas ir pavardė)</w:t>
            </w:r>
          </w:p>
        </w:tc>
      </w:tr>
    </w:tbl>
    <w:p w:rsidR="00F45FB2" w:rsidRPr="00091847" w:rsidRDefault="007142E6" w:rsidP="007142E6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2021-04-                                                                                                               2021-04-</w:t>
      </w:r>
    </w:p>
    <w:sectPr w:rsidR="00F45FB2" w:rsidRPr="00091847" w:rsidSect="007355F9">
      <w:headerReference w:type="even" r:id="rId7"/>
      <w:headerReference w:type="default" r:id="rId8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DD" w:rsidRDefault="00BA09DD" w:rsidP="00F45FB2">
      <w:r>
        <w:separator/>
      </w:r>
    </w:p>
  </w:endnote>
  <w:endnote w:type="continuationSeparator" w:id="0">
    <w:p w:rsidR="00BA09DD" w:rsidRDefault="00BA09DD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DD" w:rsidRDefault="00BA09DD" w:rsidP="00F45FB2">
      <w:r>
        <w:separator/>
      </w:r>
    </w:p>
  </w:footnote>
  <w:footnote w:type="continuationSeparator" w:id="0">
    <w:p w:rsidR="00BA09DD" w:rsidRDefault="00BA09DD" w:rsidP="00F45FB2">
      <w:r>
        <w:continuationSeparator/>
      </w:r>
    </w:p>
  </w:footnote>
  <w:footnote w:id="1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:rsidR="00CC67E2" w:rsidRPr="008E4C80" w:rsidRDefault="00CC67E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3550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7355F9" w:rsidRDefault="007355F9">
    <w:pPr>
      <w:pStyle w:val="Antrats"/>
    </w:pPr>
  </w:p>
  <w:p w:rsidR="007355F9" w:rsidRDefault="007355F9" w:rsidP="007355F9">
    <w:pPr>
      <w:pStyle w:val="Antrats"/>
      <w:jc w:val="center"/>
    </w:pPr>
  </w:p>
  <w:p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178F7"/>
    <w:rsid w:val="0005454A"/>
    <w:rsid w:val="00070D4C"/>
    <w:rsid w:val="00091847"/>
    <w:rsid w:val="000C4C9F"/>
    <w:rsid w:val="000D3CA8"/>
    <w:rsid w:val="000D49C7"/>
    <w:rsid w:val="000D6068"/>
    <w:rsid w:val="000D7B2E"/>
    <w:rsid w:val="000E293C"/>
    <w:rsid w:val="000E4C63"/>
    <w:rsid w:val="001213F8"/>
    <w:rsid w:val="00153550"/>
    <w:rsid w:val="00164EAD"/>
    <w:rsid w:val="00170984"/>
    <w:rsid w:val="00175268"/>
    <w:rsid w:val="0018068A"/>
    <w:rsid w:val="001A0EAC"/>
    <w:rsid w:val="001B496A"/>
    <w:rsid w:val="001B7CF4"/>
    <w:rsid w:val="001C5720"/>
    <w:rsid w:val="001C73A0"/>
    <w:rsid w:val="001E7C90"/>
    <w:rsid w:val="001F685F"/>
    <w:rsid w:val="001F69AC"/>
    <w:rsid w:val="0026096D"/>
    <w:rsid w:val="00264454"/>
    <w:rsid w:val="00273F42"/>
    <w:rsid w:val="002A09EA"/>
    <w:rsid w:val="002A4A5E"/>
    <w:rsid w:val="002B074D"/>
    <w:rsid w:val="002B2996"/>
    <w:rsid w:val="002B2CCE"/>
    <w:rsid w:val="002D16B2"/>
    <w:rsid w:val="002D287C"/>
    <w:rsid w:val="0031499B"/>
    <w:rsid w:val="00317A3C"/>
    <w:rsid w:val="00331511"/>
    <w:rsid w:val="00354946"/>
    <w:rsid w:val="003664B3"/>
    <w:rsid w:val="00372EB0"/>
    <w:rsid w:val="00380205"/>
    <w:rsid w:val="00392039"/>
    <w:rsid w:val="0039297A"/>
    <w:rsid w:val="003C2A80"/>
    <w:rsid w:val="003C5EB4"/>
    <w:rsid w:val="003E434C"/>
    <w:rsid w:val="003F29E1"/>
    <w:rsid w:val="00426002"/>
    <w:rsid w:val="00445F3E"/>
    <w:rsid w:val="004B22D7"/>
    <w:rsid w:val="004B645B"/>
    <w:rsid w:val="004D3F1C"/>
    <w:rsid w:val="00500ACF"/>
    <w:rsid w:val="00525567"/>
    <w:rsid w:val="00535FAF"/>
    <w:rsid w:val="00571D6A"/>
    <w:rsid w:val="00581441"/>
    <w:rsid w:val="005B0843"/>
    <w:rsid w:val="005B59A5"/>
    <w:rsid w:val="005D6BE4"/>
    <w:rsid w:val="005E3556"/>
    <w:rsid w:val="005E52B7"/>
    <w:rsid w:val="005E6983"/>
    <w:rsid w:val="005F3C6A"/>
    <w:rsid w:val="006356CD"/>
    <w:rsid w:val="00646AF6"/>
    <w:rsid w:val="00662C92"/>
    <w:rsid w:val="00675AF2"/>
    <w:rsid w:val="00683CB4"/>
    <w:rsid w:val="006A17F6"/>
    <w:rsid w:val="006B4320"/>
    <w:rsid w:val="006C0818"/>
    <w:rsid w:val="006C4381"/>
    <w:rsid w:val="006D367F"/>
    <w:rsid w:val="007071A7"/>
    <w:rsid w:val="007142E6"/>
    <w:rsid w:val="00716034"/>
    <w:rsid w:val="00724E9D"/>
    <w:rsid w:val="00724F38"/>
    <w:rsid w:val="007355F9"/>
    <w:rsid w:val="00745977"/>
    <w:rsid w:val="007556DA"/>
    <w:rsid w:val="007572FD"/>
    <w:rsid w:val="007A793F"/>
    <w:rsid w:val="007B4638"/>
    <w:rsid w:val="007E1589"/>
    <w:rsid w:val="007F6ABD"/>
    <w:rsid w:val="008139DA"/>
    <w:rsid w:val="00825864"/>
    <w:rsid w:val="008360D7"/>
    <w:rsid w:val="0084719A"/>
    <w:rsid w:val="008522A4"/>
    <w:rsid w:val="00862776"/>
    <w:rsid w:val="00876508"/>
    <w:rsid w:val="00884FDC"/>
    <w:rsid w:val="0089422E"/>
    <w:rsid w:val="00897C44"/>
    <w:rsid w:val="008A3B49"/>
    <w:rsid w:val="008E3E72"/>
    <w:rsid w:val="00907BF4"/>
    <w:rsid w:val="00962F9E"/>
    <w:rsid w:val="009947CA"/>
    <w:rsid w:val="00995C25"/>
    <w:rsid w:val="009A585B"/>
    <w:rsid w:val="009A5BC5"/>
    <w:rsid w:val="009A62CE"/>
    <w:rsid w:val="009C1ABE"/>
    <w:rsid w:val="009E7137"/>
    <w:rsid w:val="009F2AC7"/>
    <w:rsid w:val="00A0271B"/>
    <w:rsid w:val="00A10027"/>
    <w:rsid w:val="00A22646"/>
    <w:rsid w:val="00A442E2"/>
    <w:rsid w:val="00A5791F"/>
    <w:rsid w:val="00A94FB0"/>
    <w:rsid w:val="00AA28CC"/>
    <w:rsid w:val="00AD30EF"/>
    <w:rsid w:val="00AD4B70"/>
    <w:rsid w:val="00B06F76"/>
    <w:rsid w:val="00B20356"/>
    <w:rsid w:val="00B252FE"/>
    <w:rsid w:val="00B30D7F"/>
    <w:rsid w:val="00B379F6"/>
    <w:rsid w:val="00B54778"/>
    <w:rsid w:val="00B65F68"/>
    <w:rsid w:val="00B8171F"/>
    <w:rsid w:val="00B8565A"/>
    <w:rsid w:val="00B86EF0"/>
    <w:rsid w:val="00B93004"/>
    <w:rsid w:val="00BA09DD"/>
    <w:rsid w:val="00BA2D41"/>
    <w:rsid w:val="00C00D5B"/>
    <w:rsid w:val="00C11DF6"/>
    <w:rsid w:val="00C2743D"/>
    <w:rsid w:val="00C327D8"/>
    <w:rsid w:val="00C97B82"/>
    <w:rsid w:val="00CC67E2"/>
    <w:rsid w:val="00CD1CF8"/>
    <w:rsid w:val="00D177ED"/>
    <w:rsid w:val="00D27143"/>
    <w:rsid w:val="00D430D4"/>
    <w:rsid w:val="00D47A77"/>
    <w:rsid w:val="00D60306"/>
    <w:rsid w:val="00D60DB5"/>
    <w:rsid w:val="00D61E52"/>
    <w:rsid w:val="00D674CA"/>
    <w:rsid w:val="00D72509"/>
    <w:rsid w:val="00E105B7"/>
    <w:rsid w:val="00E32129"/>
    <w:rsid w:val="00E32196"/>
    <w:rsid w:val="00E50268"/>
    <w:rsid w:val="00E50318"/>
    <w:rsid w:val="00E666D3"/>
    <w:rsid w:val="00E94763"/>
    <w:rsid w:val="00EC67BD"/>
    <w:rsid w:val="00F0415B"/>
    <w:rsid w:val="00F06071"/>
    <w:rsid w:val="00F3064C"/>
    <w:rsid w:val="00F33916"/>
    <w:rsid w:val="00F347E9"/>
    <w:rsid w:val="00F45FB2"/>
    <w:rsid w:val="00F570C0"/>
    <w:rsid w:val="00F660C0"/>
    <w:rsid w:val="00F86478"/>
    <w:rsid w:val="00FC7588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72B6B-71C1-4DAD-B246-78B0FAB4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E32129"/>
    <w:pPr>
      <w:keepNext/>
      <w:ind w:left="720" w:firstLine="720"/>
      <w:outlineLvl w:val="0"/>
    </w:pPr>
    <w:rPr>
      <w:b/>
      <w:bCs/>
      <w:szCs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E32129"/>
    <w:rPr>
      <w:rFonts w:ascii="Times New Roman" w:eastAsia="Times New Roman" w:hAnsi="Times New Roman"/>
      <w:b/>
      <w:bCs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69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F69AC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uiPriority w:val="99"/>
    <w:semiHidden/>
    <w:unhideWhenUsed/>
    <w:rsid w:val="00B930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daini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Links>
    <vt:vector size="6" baseType="variant"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http://www.kedainiai.lt/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cp:lastPrinted>2018-06-01T07:34:00Z</cp:lastPrinted>
  <dcterms:created xsi:type="dcterms:W3CDTF">2021-04-19T04:55:00Z</dcterms:created>
  <dcterms:modified xsi:type="dcterms:W3CDTF">2021-04-19T04:55:00Z</dcterms:modified>
</cp:coreProperties>
</file>